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6422637C"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11</w:t>
      </w:r>
      <w:r w:rsidR="00AD1613">
        <w:rPr>
          <w:rFonts w:ascii="Times New Roman" w:hAnsi="Times New Roman" w:cs="Times New Roman"/>
          <w:sz w:val="22"/>
          <w:szCs w:val="22"/>
        </w:rPr>
        <w:t>6Bis</w:t>
      </w:r>
      <w:r w:rsidRPr="009866E4">
        <w:rPr>
          <w:rFonts w:ascii="Times New Roman" w:hAnsi="Times New Roman" w:cs="Times New Roman"/>
          <w:sz w:val="22"/>
          <w:szCs w:val="22"/>
        </w:rPr>
        <w:tab/>
      </w:r>
      <w:r w:rsidRPr="009866E4">
        <w:rPr>
          <w:rFonts w:ascii="Times New Roman" w:hAnsi="Times New Roman" w:cs="Times New Roman"/>
          <w:sz w:val="22"/>
          <w:szCs w:val="22"/>
        </w:rPr>
        <w:tab/>
        <w:t>R4-2</w:t>
      </w:r>
      <w:r w:rsidR="006B24B1">
        <w:rPr>
          <w:rFonts w:ascii="Times New Roman" w:hAnsi="Times New Roman" w:cs="Times New Roman"/>
          <w:sz w:val="22"/>
          <w:szCs w:val="22"/>
        </w:rPr>
        <w:t>5</w:t>
      </w:r>
      <w:r w:rsidR="00194554">
        <w:rPr>
          <w:rFonts w:ascii="Times New Roman" w:hAnsi="Times New Roman" w:cs="Times New Roman"/>
          <w:sz w:val="22"/>
          <w:szCs w:val="22"/>
        </w:rPr>
        <w:t>13855</w:t>
      </w:r>
    </w:p>
    <w:p w14:paraId="656F4332" w14:textId="21B4D0EE" w:rsidR="00D759AB" w:rsidRPr="009866E4" w:rsidRDefault="00892F05" w:rsidP="00D759AB">
      <w:pPr>
        <w:tabs>
          <w:tab w:val="left" w:pos="2160"/>
        </w:tabs>
        <w:rPr>
          <w:b/>
          <w:sz w:val="22"/>
          <w:szCs w:val="22"/>
        </w:rPr>
      </w:pPr>
      <w:r w:rsidRPr="00892F05">
        <w:rPr>
          <w:b/>
          <w:sz w:val="22"/>
          <w:szCs w:val="22"/>
        </w:rPr>
        <w:t>Prague</w:t>
      </w:r>
      <w:r w:rsidR="00D759AB" w:rsidRPr="00892F05">
        <w:rPr>
          <w:b/>
          <w:sz w:val="22"/>
          <w:szCs w:val="22"/>
        </w:rPr>
        <w:t>,</w:t>
      </w:r>
      <w:r w:rsidR="002026A0" w:rsidRPr="00892F05">
        <w:rPr>
          <w:b/>
          <w:sz w:val="22"/>
          <w:szCs w:val="22"/>
        </w:rPr>
        <w:t xml:space="preserve"> </w:t>
      </w:r>
      <w:r w:rsidRPr="00892F05">
        <w:rPr>
          <w:rFonts w:eastAsia="MS Mincho"/>
          <w:b/>
          <w:bCs/>
          <w:color w:val="000000" w:themeColor="text1"/>
          <w:sz w:val="22"/>
          <w:szCs w:val="22"/>
          <w:lang w:eastAsia="ja-JP"/>
        </w:rPr>
        <w:t>Czech Republic</w:t>
      </w:r>
      <w:r w:rsidR="008A2916">
        <w:rPr>
          <w:b/>
          <w:sz w:val="22"/>
          <w:szCs w:val="22"/>
        </w:rPr>
        <w:t>,</w:t>
      </w:r>
      <w:r w:rsidR="00BC6A2D">
        <w:rPr>
          <w:b/>
          <w:sz w:val="22"/>
          <w:szCs w:val="22"/>
        </w:rPr>
        <w:t xml:space="preserve"> </w:t>
      </w:r>
      <w:r>
        <w:rPr>
          <w:b/>
          <w:sz w:val="22"/>
          <w:szCs w:val="22"/>
        </w:rPr>
        <w:t>October</w:t>
      </w:r>
      <w:r w:rsidR="00D759AB" w:rsidRPr="009866E4">
        <w:rPr>
          <w:b/>
          <w:sz w:val="22"/>
          <w:szCs w:val="22"/>
        </w:rPr>
        <w:t xml:space="preserve"> </w:t>
      </w:r>
      <w:r w:rsidR="00BC6A2D">
        <w:rPr>
          <w:b/>
          <w:sz w:val="22"/>
          <w:szCs w:val="22"/>
        </w:rPr>
        <w:t>1</w:t>
      </w:r>
      <w:r>
        <w:rPr>
          <w:b/>
          <w:sz w:val="22"/>
          <w:szCs w:val="22"/>
        </w:rPr>
        <w:t>3</w:t>
      </w:r>
      <w:r w:rsidR="00D759AB" w:rsidRPr="009866E4">
        <w:rPr>
          <w:b/>
          <w:sz w:val="22"/>
          <w:szCs w:val="22"/>
        </w:rPr>
        <w:t xml:space="preserve"> – </w:t>
      </w:r>
      <w:r>
        <w:rPr>
          <w:b/>
          <w:sz w:val="22"/>
          <w:szCs w:val="22"/>
        </w:rPr>
        <w:t>17</w:t>
      </w:r>
      <w:r w:rsidR="00D759AB" w:rsidRPr="009866E4">
        <w:rPr>
          <w:b/>
          <w:sz w:val="22"/>
          <w:szCs w:val="22"/>
        </w:rPr>
        <w:t>, 202</w:t>
      </w:r>
      <w:r w:rsidR="00E17720">
        <w:rPr>
          <w:b/>
          <w:sz w:val="22"/>
          <w:szCs w:val="22"/>
        </w:rPr>
        <w:t>5</w:t>
      </w:r>
    </w:p>
    <w:p w14:paraId="6DDCE159" w14:textId="4CD04C1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5D763E">
        <w:rPr>
          <w:rFonts w:ascii="Times New Roman" w:hAnsi="Times New Roman" w:cs="Times New Roman"/>
          <w:b w:val="0"/>
          <w:bCs/>
          <w:sz w:val="22"/>
          <w:szCs w:val="22"/>
        </w:rPr>
        <w:t>7</w:t>
      </w:r>
      <w:r w:rsidR="00E35CEB" w:rsidRPr="00E35CEB">
        <w:rPr>
          <w:rFonts w:ascii="Times New Roman" w:hAnsi="Times New Roman" w:cs="Times New Roman"/>
          <w:b w:val="0"/>
          <w:bCs/>
          <w:sz w:val="22"/>
          <w:szCs w:val="22"/>
        </w:rPr>
        <w:t>.</w:t>
      </w:r>
      <w:r w:rsidR="005D763E">
        <w:rPr>
          <w:rFonts w:ascii="Times New Roman" w:hAnsi="Times New Roman" w:cs="Times New Roman"/>
          <w:b w:val="0"/>
          <w:bCs/>
          <w:sz w:val="22"/>
          <w:szCs w:val="22"/>
        </w:rPr>
        <w:t>8</w:t>
      </w:r>
      <w:r w:rsidR="003A5DB6">
        <w:rPr>
          <w:rFonts w:ascii="Times New Roman" w:hAnsi="Times New Roman" w:cs="Times New Roman"/>
          <w:b w:val="0"/>
          <w:bCs/>
          <w:sz w:val="22"/>
          <w:szCs w:val="22"/>
        </w:rPr>
        <w:t>.</w:t>
      </w:r>
      <w:r w:rsidR="005D763E">
        <w:rPr>
          <w:rFonts w:ascii="Times New Roman" w:hAnsi="Times New Roman" w:cs="Times New Roman"/>
          <w:b w:val="0"/>
          <w:bCs/>
          <w:sz w:val="22"/>
          <w:szCs w:val="22"/>
        </w:rPr>
        <w:t>3</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6647F7E5"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833AA1">
        <w:rPr>
          <w:rFonts w:ascii="Times New Roman" w:hAnsi="Times New Roman" w:cs="Times New Roman"/>
          <w:b w:val="0"/>
          <w:bCs/>
          <w:sz w:val="22"/>
          <w:szCs w:val="22"/>
        </w:rPr>
        <w:t>Ini</w:t>
      </w:r>
      <w:r w:rsidR="00833AA1" w:rsidRPr="00833AA1">
        <w:rPr>
          <w:rFonts w:ascii="Times New Roman" w:hAnsi="Times New Roman" w:cs="Times New Roman"/>
          <w:b w:val="0"/>
          <w:bCs/>
          <w:sz w:val="22"/>
          <w:szCs w:val="22"/>
        </w:rPr>
        <w:t>tial Views on RF requirements  for LB CA via switching with 2</w:t>
      </w:r>
      <w:r w:rsidR="00F8393E">
        <w:rPr>
          <w:rFonts w:ascii="Times New Roman" w:hAnsi="Times New Roman" w:cs="Times New Roman"/>
          <w:b w:val="0"/>
          <w:bCs/>
          <w:sz w:val="22"/>
          <w:szCs w:val="22"/>
        </w:rPr>
        <w:t xml:space="preserve"> </w:t>
      </w:r>
      <w:r w:rsidR="00833AA1" w:rsidRPr="00833AA1">
        <w:rPr>
          <w:rFonts w:ascii="Times New Roman" w:hAnsi="Times New Roman" w:cs="Times New Roman"/>
          <w:b w:val="0"/>
          <w:bCs/>
          <w:sz w:val="22"/>
          <w:szCs w:val="22"/>
        </w:rPr>
        <w:t>DL</w:t>
      </w:r>
      <w:r w:rsidR="00F8393E">
        <w:rPr>
          <w:rFonts w:ascii="Times New Roman" w:hAnsi="Times New Roman" w:cs="Times New Roman"/>
          <w:b w:val="0"/>
          <w:bCs/>
          <w:sz w:val="22"/>
          <w:szCs w:val="22"/>
        </w:rPr>
        <w:t>s</w:t>
      </w:r>
    </w:p>
    <w:p w14:paraId="052B1E0C" w14:textId="5A3C4F71"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5D763E" w:rsidRPr="005D763E">
        <w:rPr>
          <w:rFonts w:ascii="Times New Roman" w:eastAsia="MS Mincho" w:hAnsi="Times New Roman" w:cs="Times New Roman"/>
          <w:b w:val="0"/>
          <w:bCs/>
          <w:sz w:val="20"/>
          <w:szCs w:val="20"/>
          <w:lang w:eastAsia="ja-JP"/>
        </w:rPr>
        <w:t>NR_LBCA_Sw_enh-Core</w:t>
      </w:r>
    </w:p>
    <w:p w14:paraId="6C6D1281" w14:textId="7C066E57"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892F05">
        <w:rPr>
          <w:rFonts w:ascii="Times New Roman" w:hAnsi="Times New Roman" w:cs="Times New Roman"/>
          <w:b w:val="0"/>
          <w:bCs/>
          <w:sz w:val="22"/>
          <w:szCs w:val="22"/>
        </w:rPr>
        <w:t>20</w:t>
      </w:r>
    </w:p>
    <w:p w14:paraId="2E4E044D" w14:textId="3B2DF464"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4732D5B9"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1F899AAF" w14:textId="155F2036" w:rsidR="00917F2E" w:rsidRPr="00C51DCE" w:rsidRDefault="00892F05" w:rsidP="009E643B">
      <w:pPr>
        <w:overflowPunct w:val="0"/>
        <w:autoSpaceDE w:val="0"/>
        <w:autoSpaceDN w:val="0"/>
        <w:adjustRightInd w:val="0"/>
        <w:ind w:firstLine="284"/>
        <w:jc w:val="both"/>
        <w:textAlignment w:val="baseline"/>
        <w:rPr>
          <w:rFonts w:eastAsia="SimSun"/>
          <w:bCs/>
          <w:sz w:val="20"/>
          <w:szCs w:val="20"/>
          <w:lang w:eastAsia="zh-CN"/>
        </w:rPr>
      </w:pPr>
      <w:r w:rsidRPr="00917F2E">
        <w:rPr>
          <w:rFonts w:eastAsia="SimSun"/>
          <w:bCs/>
          <w:sz w:val="20"/>
          <w:szCs w:val="20"/>
          <w:lang w:eastAsia="zh-CN"/>
        </w:rPr>
        <w:t xml:space="preserve">In the </w:t>
      </w:r>
      <w:r w:rsidR="00C94848" w:rsidRPr="00C94848">
        <w:rPr>
          <w:rFonts w:eastAsia="SimSun"/>
          <w:bCs/>
          <w:sz w:val="20"/>
          <w:szCs w:val="20"/>
          <w:lang w:eastAsia="zh-CN"/>
        </w:rPr>
        <w:t xml:space="preserve">recent </w:t>
      </w:r>
      <w:r w:rsidRPr="00C94848">
        <w:rPr>
          <w:rFonts w:eastAsia="SimSun"/>
          <w:bCs/>
          <w:sz w:val="20"/>
          <w:szCs w:val="20"/>
          <w:lang w:eastAsia="zh-CN"/>
        </w:rPr>
        <w:t>RAN plenary meeting (</w:t>
      </w:r>
      <w:r w:rsidR="00C94848" w:rsidRPr="00C94848">
        <w:rPr>
          <w:bCs/>
          <w:noProof/>
          <w:sz w:val="20"/>
          <w:szCs w:val="20"/>
        </w:rPr>
        <w:t>3GPP TSG RAN Meeting #109, Beijing, China, September 15-18, 2025</w:t>
      </w:r>
      <w:r w:rsidRPr="00C94848">
        <w:rPr>
          <w:rFonts w:eastAsia="MS Mincho"/>
          <w:bCs/>
          <w:color w:val="000000" w:themeColor="text1"/>
          <w:sz w:val="20"/>
          <w:szCs w:val="20"/>
          <w:lang w:eastAsia="ja-JP"/>
        </w:rPr>
        <w:t>, 2025</w:t>
      </w:r>
      <w:r w:rsidRPr="00917F2E">
        <w:rPr>
          <w:rFonts w:eastAsia="SimSun"/>
          <w:bCs/>
          <w:sz w:val="20"/>
          <w:szCs w:val="20"/>
          <w:lang w:eastAsia="zh-CN"/>
        </w:rPr>
        <w:t>), discussions were held on</w:t>
      </w:r>
      <w:r w:rsidR="00BB5C5D">
        <w:rPr>
          <w:rFonts w:eastAsia="SimSun"/>
          <w:bCs/>
          <w:sz w:val="20"/>
          <w:szCs w:val="20"/>
          <w:lang w:eastAsia="zh-CN"/>
        </w:rPr>
        <w:t xml:space="preserve"> </w:t>
      </w:r>
      <w:r w:rsidR="009E643B">
        <w:rPr>
          <w:rFonts w:eastAsia="SimSun"/>
          <w:bCs/>
          <w:sz w:val="20"/>
          <w:szCs w:val="20"/>
          <w:lang w:eastAsia="zh-CN"/>
        </w:rPr>
        <w:t>enhancements for Rel-19</w:t>
      </w:r>
      <w:r w:rsidRPr="00BB5C5D">
        <w:rPr>
          <w:rFonts w:eastAsia="SimSun"/>
          <w:bCs/>
          <w:sz w:val="20"/>
          <w:szCs w:val="20"/>
          <w:lang w:eastAsia="zh-CN"/>
        </w:rPr>
        <w:t xml:space="preserve"> </w:t>
      </w:r>
      <w:r w:rsidR="009E643B">
        <w:rPr>
          <w:rFonts w:eastAsia="SimSun"/>
          <w:bCs/>
          <w:sz w:val="20"/>
          <w:szCs w:val="20"/>
          <w:lang w:eastAsia="zh-CN"/>
        </w:rPr>
        <w:t>l</w:t>
      </w:r>
      <w:r w:rsidR="00BB5C5D" w:rsidRPr="00BB5C5D">
        <w:rPr>
          <w:sz w:val="20"/>
          <w:szCs w:val="20"/>
          <w:lang w:eastAsia="zh-CN"/>
        </w:rPr>
        <w:t>ow NR band aggregation via switching</w:t>
      </w:r>
      <w:r w:rsidR="009E643B">
        <w:rPr>
          <w:sz w:val="20"/>
          <w:szCs w:val="20"/>
          <w:lang w:eastAsia="zh-CN"/>
        </w:rPr>
        <w:t xml:space="preserve"> (NR_LBCA_Sw) feature</w:t>
      </w:r>
      <w:r w:rsidRPr="00917F2E">
        <w:rPr>
          <w:rFonts w:eastAsia="SimSun"/>
          <w:bCs/>
          <w:sz w:val="20"/>
          <w:szCs w:val="20"/>
          <w:lang w:eastAsia="zh-CN"/>
        </w:rPr>
        <w:t>. As a result, a</w:t>
      </w:r>
      <w:r w:rsidR="009E643B">
        <w:rPr>
          <w:rFonts w:eastAsia="SimSun"/>
          <w:bCs/>
          <w:sz w:val="20"/>
          <w:szCs w:val="20"/>
          <w:lang w:eastAsia="zh-CN"/>
        </w:rPr>
        <w:t xml:space="preserve">n agreement was made to introduce a new WI in Rel-20 ( </w:t>
      </w:r>
      <w:r w:rsidR="009E643B">
        <w:rPr>
          <w:sz w:val="20"/>
          <w:szCs w:val="20"/>
          <w:lang w:eastAsia="zh-CN"/>
        </w:rPr>
        <w:t>NR_LBCA_Sw_enh) to handle enhancements to the feature</w:t>
      </w:r>
      <w:r w:rsidR="00B91476">
        <w:rPr>
          <w:sz w:val="20"/>
          <w:szCs w:val="20"/>
          <w:lang w:eastAsia="zh-CN"/>
        </w:rPr>
        <w:t xml:space="preserve"> </w:t>
      </w:r>
      <w:r w:rsidR="009E643B">
        <w:rPr>
          <w:sz w:val="20"/>
          <w:szCs w:val="20"/>
          <w:lang w:eastAsia="zh-CN"/>
        </w:rPr>
        <w:t xml:space="preserve">[1]. </w:t>
      </w:r>
      <w:r w:rsidRPr="00917F2E">
        <w:rPr>
          <w:rFonts w:eastAsia="SimSun"/>
          <w:bCs/>
          <w:sz w:val="20"/>
          <w:szCs w:val="20"/>
          <w:lang w:eastAsia="zh-CN"/>
        </w:rPr>
        <w:t>The main objectives of the</w:t>
      </w:r>
      <w:r w:rsidR="009E643B">
        <w:rPr>
          <w:rFonts w:eastAsia="SimSun"/>
          <w:bCs/>
          <w:sz w:val="20"/>
          <w:szCs w:val="20"/>
          <w:lang w:eastAsia="zh-CN"/>
        </w:rPr>
        <w:t xml:space="preserve"> new</w:t>
      </w:r>
      <w:r w:rsidRPr="00917F2E">
        <w:rPr>
          <w:rFonts w:eastAsia="SimSun"/>
          <w:bCs/>
          <w:sz w:val="20"/>
          <w:szCs w:val="20"/>
          <w:lang w:eastAsia="zh-CN"/>
        </w:rPr>
        <w:t xml:space="preserve"> WI are highlighted below</w:t>
      </w:r>
      <w:r w:rsidR="009E643B">
        <w:rPr>
          <w:rFonts w:eastAsia="SimSun"/>
          <w:bCs/>
          <w:sz w:val="20"/>
          <w:szCs w:val="20"/>
          <w:lang w:eastAsia="zh-CN"/>
        </w:rPr>
        <w:t>:</w:t>
      </w:r>
    </w:p>
    <w:p w14:paraId="6223D7CD" w14:textId="043DE36A" w:rsidR="004C0FA5" w:rsidRPr="0060468E" w:rsidRDefault="00C94848" w:rsidP="007E6717">
      <w:pPr>
        <w:overflowPunct w:val="0"/>
        <w:autoSpaceDE w:val="0"/>
        <w:autoSpaceDN w:val="0"/>
        <w:adjustRightInd w:val="0"/>
        <w:ind w:firstLine="284"/>
        <w:jc w:val="both"/>
        <w:textAlignment w:val="baseline"/>
        <w:rPr>
          <w:rFonts w:eastAsia="SimSun"/>
          <w:bCs/>
          <w:sz w:val="20"/>
          <w:szCs w:val="20"/>
          <w:lang w:eastAsia="zh-CN"/>
        </w:rPr>
      </w:pPr>
      <w:r w:rsidRPr="00917F2E">
        <w:rPr>
          <w:rFonts w:eastAsia="SimSun"/>
          <w:b/>
          <w:bCs/>
          <w:noProof/>
          <w:lang w:eastAsia="zh-CN"/>
        </w:rPr>
        <mc:AlternateContent>
          <mc:Choice Requires="wps">
            <w:drawing>
              <wp:anchor distT="0" distB="0" distL="114300" distR="114300" simplePos="0" relativeHeight="251659264" behindDoc="1" locked="0" layoutInCell="1" allowOverlap="1" wp14:anchorId="364CFE54" wp14:editId="14A0F093">
                <wp:simplePos x="0" y="0"/>
                <wp:positionH relativeFrom="column">
                  <wp:posOffset>-94956</wp:posOffset>
                </wp:positionH>
                <wp:positionV relativeFrom="paragraph">
                  <wp:posOffset>75565</wp:posOffset>
                </wp:positionV>
                <wp:extent cx="6214730" cy="2914185"/>
                <wp:effectExtent l="0" t="0" r="8890" b="6985"/>
                <wp:wrapNone/>
                <wp:docPr id="666206523" name="Rectangle 1"/>
                <wp:cNvGraphicFramePr/>
                <a:graphic xmlns:a="http://schemas.openxmlformats.org/drawingml/2006/main">
                  <a:graphicData uri="http://schemas.microsoft.com/office/word/2010/wordprocessingShape">
                    <wps:wsp>
                      <wps:cNvSpPr/>
                      <wps:spPr>
                        <a:xfrm>
                          <a:off x="0" y="0"/>
                          <a:ext cx="6214730" cy="2914185"/>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F67794" id="Rectangle 1" o:spid="_x0000_s1026" style="position:absolute;margin-left:-7.5pt;margin-top:5.95pt;width:489.35pt;height:22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" fillcolor="#d8d8d8 [2732]" strokecolor="black [3213]" strokeweight="1pt"/>
            </w:pict>
          </mc:Fallback>
        </mc:AlternateContent>
      </w:r>
    </w:p>
    <w:p w14:paraId="26F18FA3" w14:textId="27D4054E" w:rsidR="00C94848" w:rsidRPr="00C94848" w:rsidRDefault="00C94848" w:rsidP="00C94848">
      <w:pPr>
        <w:rPr>
          <w:b/>
          <w:bCs/>
          <w:iCs/>
          <w:lang w:eastAsia="zh-CN"/>
        </w:rPr>
      </w:pPr>
      <w:r w:rsidRPr="00C94848">
        <w:rPr>
          <w:rFonts w:hint="eastAsia"/>
          <w:b/>
          <w:bCs/>
          <w:iCs/>
          <w:lang w:eastAsia="zh-CN"/>
        </w:rPr>
        <w:t>The core part of WI:</w:t>
      </w:r>
    </w:p>
    <w:p w14:paraId="1C203ACE" w14:textId="04A74348" w:rsidR="00C94848" w:rsidRPr="00C94848" w:rsidRDefault="00C94848" w:rsidP="00C94848">
      <w:pPr>
        <w:pStyle w:val="ListParagraph"/>
        <w:numPr>
          <w:ilvl w:val="0"/>
          <w:numId w:val="74"/>
        </w:numPr>
        <w:overflowPunct w:val="0"/>
        <w:autoSpaceDE w:val="0"/>
        <w:autoSpaceDN w:val="0"/>
        <w:adjustRightInd w:val="0"/>
        <w:contextualSpacing w:val="0"/>
        <w:textAlignment w:val="baseline"/>
        <w:rPr>
          <w:color w:val="000000" w:themeColor="text1"/>
          <w:sz w:val="20"/>
          <w:szCs w:val="20"/>
          <w:lang w:eastAsia="zh-CN"/>
        </w:rPr>
      </w:pPr>
      <w:r w:rsidRPr="00C94848">
        <w:rPr>
          <w:color w:val="000000" w:themeColor="text1"/>
          <w:sz w:val="20"/>
          <w:szCs w:val="20"/>
          <w:lang w:eastAsia="zh-CN"/>
        </w:rPr>
        <w:t xml:space="preserve">Specify the necessary UE RF and RRM core requirements to allow switching between {case 1, case </w:t>
      </w:r>
      <w:r w:rsidRPr="00C94848">
        <w:rPr>
          <w:rFonts w:hint="eastAsia"/>
          <w:color w:val="000000" w:themeColor="text1"/>
          <w:sz w:val="20"/>
          <w:szCs w:val="20"/>
          <w:lang w:eastAsia="zh-CN"/>
        </w:rPr>
        <w:t>3</w:t>
      </w:r>
      <w:r w:rsidRPr="00C94848">
        <w:rPr>
          <w:color w:val="000000" w:themeColor="text1"/>
          <w:sz w:val="20"/>
          <w:szCs w:val="20"/>
          <w:lang w:eastAsia="zh-CN"/>
        </w:rPr>
        <w:t>} to enable low band carrier aggregation via switching for the dual downlink scenario between FDD band and SDL band [RAN4].</w:t>
      </w:r>
    </w:p>
    <w:p w14:paraId="1B7CBB78" w14:textId="2B0C6DD7"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Case 1: Tx/Rx on FDD carrier 1 and no Rx on SDL carrier 2.</w:t>
      </w:r>
    </w:p>
    <w:p w14:paraId="1B309AC6" w14:textId="6FAE0379"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 xml:space="preserve">Case </w:t>
      </w:r>
      <w:r w:rsidRPr="00C94848">
        <w:rPr>
          <w:rFonts w:hint="eastAsia"/>
          <w:color w:val="000000" w:themeColor="text1"/>
          <w:sz w:val="20"/>
          <w:szCs w:val="20"/>
          <w:lang w:eastAsia="zh-CN"/>
        </w:rPr>
        <w:t>3</w:t>
      </w:r>
      <w:r w:rsidRPr="00C94848">
        <w:rPr>
          <w:color w:val="000000" w:themeColor="text1"/>
          <w:sz w:val="20"/>
          <w:szCs w:val="20"/>
        </w:rPr>
        <w:t>: Rx on both FDD carrier 1 and SDL carrier 2 and no Tx on FDD carrier 1.</w:t>
      </w:r>
    </w:p>
    <w:p w14:paraId="32AE6FE7" w14:textId="3F599CD3"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rFonts w:hint="eastAsia"/>
          <w:color w:val="000000" w:themeColor="text1"/>
          <w:sz w:val="20"/>
          <w:szCs w:val="20"/>
        </w:rPr>
        <w:t>E</w:t>
      </w:r>
      <w:r w:rsidRPr="00C94848">
        <w:rPr>
          <w:color w:val="000000" w:themeColor="text1"/>
          <w:sz w:val="20"/>
          <w:szCs w:val="20"/>
        </w:rPr>
        <w:t>xample band combinations: CA_n12A-n29A and CA_n28</w:t>
      </w:r>
      <w:r w:rsidRPr="00C94848">
        <w:rPr>
          <w:rFonts w:hint="eastAsia"/>
          <w:color w:val="000000" w:themeColor="text1"/>
          <w:sz w:val="20"/>
          <w:szCs w:val="20"/>
          <w:lang w:eastAsia="zh-CN"/>
        </w:rPr>
        <w:t>A</w:t>
      </w:r>
      <w:r w:rsidRPr="00C94848">
        <w:rPr>
          <w:color w:val="000000" w:themeColor="text1"/>
          <w:sz w:val="20"/>
          <w:szCs w:val="20"/>
        </w:rPr>
        <w:t>-n67</w:t>
      </w:r>
      <w:r w:rsidRPr="00C94848">
        <w:rPr>
          <w:rFonts w:hint="eastAsia"/>
          <w:color w:val="000000" w:themeColor="text1"/>
          <w:sz w:val="20"/>
          <w:szCs w:val="20"/>
          <w:lang w:eastAsia="zh-CN"/>
        </w:rPr>
        <w:t>A</w:t>
      </w:r>
      <w:r w:rsidRPr="00C94848">
        <w:rPr>
          <w:color w:val="000000" w:themeColor="text1"/>
          <w:sz w:val="20"/>
          <w:szCs w:val="20"/>
        </w:rPr>
        <w:t>, additional FDD+SDL band combinations can be added in the specific basket WI after this WI is completed.</w:t>
      </w:r>
    </w:p>
    <w:p w14:paraId="6907BFD1" w14:textId="0D4978EF"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Reuse the time mask requirements defined in Rel-19 for low-band CA via switching as much as possible</w:t>
      </w:r>
    </w:p>
    <w:p w14:paraId="69569907" w14:textId="7FB80EB2"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rFonts w:hint="eastAsia"/>
          <w:color w:val="000000" w:themeColor="text1"/>
          <w:sz w:val="20"/>
          <w:szCs w:val="20"/>
          <w:lang w:eastAsia="zh-CN"/>
        </w:rPr>
        <w:t xml:space="preserve">Note: Case 2 is specified in Rel-19 WID of </w:t>
      </w:r>
      <w:r w:rsidRPr="00C94848">
        <w:rPr>
          <w:color w:val="000000" w:themeColor="text1"/>
          <w:sz w:val="20"/>
          <w:szCs w:val="20"/>
          <w:lang w:eastAsia="zh-CN"/>
        </w:rPr>
        <w:t>NR_LBCA_Sw</w:t>
      </w:r>
    </w:p>
    <w:p w14:paraId="3A399528" w14:textId="7378D8A0" w:rsidR="00C94848" w:rsidRPr="00C94848" w:rsidRDefault="00C94848" w:rsidP="00C94848">
      <w:pPr>
        <w:pStyle w:val="ListParagraph"/>
        <w:numPr>
          <w:ilvl w:val="0"/>
          <w:numId w:val="74"/>
        </w:numPr>
        <w:overflowPunct w:val="0"/>
        <w:autoSpaceDE w:val="0"/>
        <w:autoSpaceDN w:val="0"/>
        <w:adjustRightInd w:val="0"/>
        <w:contextualSpacing w:val="0"/>
        <w:textAlignment w:val="baseline"/>
        <w:rPr>
          <w:color w:val="000000" w:themeColor="text1"/>
          <w:sz w:val="20"/>
          <w:szCs w:val="20"/>
          <w:lang w:eastAsia="zh-CN"/>
        </w:rPr>
      </w:pPr>
      <w:r w:rsidRPr="00C94848">
        <w:rPr>
          <w:color w:val="000000" w:themeColor="text1"/>
          <w:sz w:val="20"/>
          <w:szCs w:val="20"/>
          <w:lang w:eastAsia="zh-CN"/>
        </w:rPr>
        <w:t>Reuse the semi-static switching mechanism based on RRC configuration defined in Rel-19 for low-band CA via switching</w:t>
      </w:r>
    </w:p>
    <w:p w14:paraId="4E1C03C9" w14:textId="107BD8F4" w:rsidR="00C94848" w:rsidRPr="00C94848" w:rsidRDefault="00C94848" w:rsidP="00C94848">
      <w:pPr>
        <w:pStyle w:val="ListParagraph"/>
        <w:numPr>
          <w:ilvl w:val="0"/>
          <w:numId w:val="74"/>
        </w:numPr>
        <w:overflowPunct w:val="0"/>
        <w:autoSpaceDE w:val="0"/>
        <w:autoSpaceDN w:val="0"/>
        <w:adjustRightInd w:val="0"/>
        <w:contextualSpacing w:val="0"/>
        <w:textAlignment w:val="baseline"/>
        <w:rPr>
          <w:color w:val="000000" w:themeColor="text1"/>
          <w:sz w:val="20"/>
          <w:szCs w:val="20"/>
          <w:lang w:eastAsia="zh-CN"/>
        </w:rPr>
      </w:pPr>
      <w:r w:rsidRPr="00C94848">
        <w:rPr>
          <w:color w:val="000000" w:themeColor="text1"/>
          <w:sz w:val="20"/>
          <w:szCs w:val="20"/>
          <w:lang w:eastAsia="zh-CN"/>
        </w:rPr>
        <w:t xml:space="preserve">Consider the following deployment constraints: </w:t>
      </w:r>
    </w:p>
    <w:p w14:paraId="23CA1136" w14:textId="78258848"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The carrier frequency for all cases is &lt;1GHz.</w:t>
      </w:r>
    </w:p>
    <w:p w14:paraId="1A02FA45" w14:textId="685FFFE8"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Co-located and synchronized network deployment for both carriers.</w:t>
      </w:r>
    </w:p>
    <w:p w14:paraId="7F47DEA3" w14:textId="74D781DD"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Both carriers are in a single TAG.</w:t>
      </w:r>
    </w:p>
    <w:p w14:paraId="03350E8D" w14:textId="47898F32"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SCS 15Khz on both carriers.</w:t>
      </w:r>
    </w:p>
    <w:p w14:paraId="257BE9F3" w14:textId="3D2536BF" w:rsidR="00C94848" w:rsidRPr="00C94848" w:rsidRDefault="00C94848" w:rsidP="00C94848">
      <w:pPr>
        <w:pStyle w:val="ListParagraph"/>
        <w:numPr>
          <w:ilvl w:val="1"/>
          <w:numId w:val="74"/>
        </w:numPr>
        <w:overflowPunct w:val="0"/>
        <w:autoSpaceDE w:val="0"/>
        <w:autoSpaceDN w:val="0"/>
        <w:adjustRightInd w:val="0"/>
        <w:ind w:left="993"/>
        <w:contextualSpacing w:val="0"/>
        <w:textAlignment w:val="baseline"/>
        <w:rPr>
          <w:color w:val="000000" w:themeColor="text1"/>
          <w:sz w:val="20"/>
          <w:szCs w:val="20"/>
        </w:rPr>
      </w:pPr>
      <w:r w:rsidRPr="00C94848">
        <w:rPr>
          <w:color w:val="000000" w:themeColor="text1"/>
          <w:sz w:val="20"/>
          <w:szCs w:val="20"/>
        </w:rPr>
        <w:t>No in-gap interference between DL carriers is expected</w:t>
      </w:r>
    </w:p>
    <w:p w14:paraId="1DCAE7FF" w14:textId="51A1A5A8" w:rsidR="00C94848" w:rsidRPr="00C94848" w:rsidRDefault="00C94848" w:rsidP="00C94848">
      <w:pPr>
        <w:pStyle w:val="ListParagraph"/>
        <w:ind w:left="442"/>
        <w:rPr>
          <w:color w:val="000000" w:themeColor="text1"/>
          <w:sz w:val="20"/>
          <w:szCs w:val="20"/>
          <w:lang w:eastAsia="zh-CN"/>
        </w:rPr>
      </w:pPr>
      <w:r w:rsidRPr="00C94848">
        <w:rPr>
          <w:color w:val="000000" w:themeColor="text1"/>
          <w:sz w:val="20"/>
          <w:szCs w:val="20"/>
          <w:lang w:eastAsia="zh-CN"/>
        </w:rPr>
        <w:t>Note 1: Reuse Rel-19 LB-CA RAN4 requirements as much as possible</w:t>
      </w:r>
      <w:r w:rsidRPr="00C94848">
        <w:rPr>
          <w:rFonts w:hint="eastAsia"/>
          <w:color w:val="000000" w:themeColor="text1"/>
          <w:sz w:val="20"/>
          <w:szCs w:val="20"/>
          <w:lang w:eastAsia="zh-CN"/>
        </w:rPr>
        <w:t>.</w:t>
      </w:r>
    </w:p>
    <w:p w14:paraId="14BB4097" w14:textId="77777777" w:rsidR="00C94848" w:rsidRDefault="00C94848" w:rsidP="00C94848">
      <w:pPr>
        <w:pStyle w:val="ListParagraph"/>
        <w:ind w:left="442"/>
        <w:rPr>
          <w:color w:val="000000" w:themeColor="text1"/>
          <w:sz w:val="18"/>
          <w:szCs w:val="18"/>
          <w:lang w:eastAsia="zh-CN"/>
        </w:rPr>
      </w:pPr>
    </w:p>
    <w:p w14:paraId="7EE6ED65" w14:textId="77777777" w:rsidR="00C94848" w:rsidRPr="00C94848" w:rsidRDefault="00C94848" w:rsidP="00C94848">
      <w:pPr>
        <w:rPr>
          <w:color w:val="000000" w:themeColor="text1"/>
          <w:sz w:val="18"/>
          <w:szCs w:val="18"/>
          <w:lang w:eastAsia="zh-CN"/>
        </w:rPr>
      </w:pPr>
    </w:p>
    <w:p w14:paraId="503F5571" w14:textId="1DF28DD7" w:rsidR="00C94848" w:rsidRPr="00C94848" w:rsidRDefault="00C94848" w:rsidP="00C94848">
      <w:pPr>
        <w:overflowPunct w:val="0"/>
        <w:autoSpaceDE w:val="0"/>
        <w:autoSpaceDN w:val="0"/>
        <w:adjustRightInd w:val="0"/>
        <w:jc w:val="both"/>
        <w:textAlignment w:val="baseline"/>
        <w:rPr>
          <w:rFonts w:eastAsia="SimSun"/>
          <w:bCs/>
          <w:sz w:val="20"/>
          <w:szCs w:val="20"/>
          <w:lang w:eastAsia="zh-CN"/>
        </w:rPr>
      </w:pPr>
      <w:r w:rsidRPr="00C94848">
        <w:rPr>
          <w:rFonts w:eastAsia="SimSun"/>
          <w:bCs/>
          <w:sz w:val="20"/>
          <w:szCs w:val="20"/>
          <w:lang w:eastAsia="zh-CN"/>
        </w:rPr>
        <w:t xml:space="preserve">In this discussion paper, we will share our initial views on the UE RF requirements, using </w:t>
      </w:r>
      <w:r w:rsidRPr="00C94848">
        <w:rPr>
          <w:color w:val="000000" w:themeColor="text1"/>
          <w:sz w:val="20"/>
          <w:szCs w:val="20"/>
        </w:rPr>
        <w:t>CA_n12A-n29A and CA_n28</w:t>
      </w:r>
      <w:r w:rsidRPr="00C94848">
        <w:rPr>
          <w:rFonts w:hint="eastAsia"/>
          <w:color w:val="000000" w:themeColor="text1"/>
          <w:sz w:val="20"/>
          <w:szCs w:val="20"/>
          <w:lang w:eastAsia="zh-CN"/>
        </w:rPr>
        <w:t>A</w:t>
      </w:r>
      <w:r w:rsidRPr="00C94848">
        <w:rPr>
          <w:color w:val="000000" w:themeColor="text1"/>
          <w:sz w:val="20"/>
          <w:szCs w:val="20"/>
        </w:rPr>
        <w:t>-n67</w:t>
      </w:r>
      <w:r w:rsidRPr="00C94848">
        <w:rPr>
          <w:rFonts w:hint="eastAsia"/>
          <w:color w:val="000000" w:themeColor="text1"/>
          <w:sz w:val="20"/>
          <w:szCs w:val="20"/>
          <w:lang w:eastAsia="zh-CN"/>
        </w:rPr>
        <w:t>A</w:t>
      </w:r>
      <w:r w:rsidRPr="00C94848">
        <w:rPr>
          <w:rFonts w:eastAsia="SimSun"/>
          <w:bCs/>
          <w:sz w:val="20"/>
          <w:szCs w:val="20"/>
          <w:lang w:eastAsia="zh-CN"/>
        </w:rPr>
        <w:t xml:space="preserve"> as example</w:t>
      </w:r>
      <w:r>
        <w:rPr>
          <w:rFonts w:eastAsia="SimSun"/>
          <w:bCs/>
          <w:sz w:val="20"/>
          <w:szCs w:val="20"/>
          <w:lang w:eastAsia="zh-CN"/>
        </w:rPr>
        <w:t>s of the band combination to support this feature</w:t>
      </w:r>
      <w:r w:rsidRPr="00C94848">
        <w:rPr>
          <w:rFonts w:eastAsia="SimSun"/>
          <w:bCs/>
          <w:sz w:val="20"/>
          <w:szCs w:val="20"/>
          <w:lang w:eastAsia="zh-CN"/>
        </w:rPr>
        <w:t>.</w:t>
      </w:r>
    </w:p>
    <w:p w14:paraId="5A0A3FBA" w14:textId="77777777" w:rsidR="00C94848" w:rsidRDefault="00C94848" w:rsidP="00C94848">
      <w:pPr>
        <w:pStyle w:val="ListParagraph"/>
        <w:ind w:left="442"/>
        <w:rPr>
          <w:color w:val="000000" w:themeColor="text1"/>
          <w:sz w:val="18"/>
          <w:szCs w:val="18"/>
          <w:lang w:eastAsia="zh-CN"/>
        </w:rPr>
      </w:pPr>
    </w:p>
    <w:p w14:paraId="6B73A3C3" w14:textId="1B6A9CE3"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t>Discussion</w:t>
      </w:r>
    </w:p>
    <w:p w14:paraId="3EEC164D" w14:textId="1086F3BE" w:rsidR="0026657D" w:rsidRPr="00BA468D" w:rsidRDefault="00B91476" w:rsidP="0026657D">
      <w:pPr>
        <w:pStyle w:val="ListParagraph"/>
        <w:numPr>
          <w:ilvl w:val="1"/>
          <w:numId w:val="11"/>
        </w:numPr>
        <w:jc w:val="both"/>
        <w:rPr>
          <w:b/>
          <w:bCs/>
          <w:sz w:val="22"/>
          <w:szCs w:val="22"/>
        </w:rPr>
      </w:pPr>
      <w:r w:rsidRPr="00BA468D">
        <w:rPr>
          <w:b/>
          <w:bCs/>
          <w:sz w:val="22"/>
          <w:szCs w:val="22"/>
          <w:lang w:eastAsia="zh-CN"/>
        </w:rPr>
        <w:t>Low NR band aggregation via switching with 2 DLs</w:t>
      </w:r>
    </w:p>
    <w:p w14:paraId="33448462" w14:textId="63C3481E" w:rsidR="000B0294" w:rsidRDefault="00795F7B" w:rsidP="00432835">
      <w:pPr>
        <w:spacing w:after="180"/>
        <w:ind w:firstLine="284"/>
        <w:jc w:val="both"/>
        <w:rPr>
          <w:rFonts w:eastAsia="DengXian"/>
          <w:sz w:val="20"/>
          <w:szCs w:val="20"/>
          <w:lang w:eastAsia="zh-CN"/>
        </w:rPr>
      </w:pPr>
      <w:r>
        <w:rPr>
          <w:sz w:val="20"/>
          <w:szCs w:val="20"/>
        </w:rPr>
        <w:t xml:space="preserve">In Rel-19, </w:t>
      </w:r>
      <w:r>
        <w:rPr>
          <w:rFonts w:eastAsia="SimSun"/>
          <w:bCs/>
          <w:sz w:val="20"/>
          <w:szCs w:val="20"/>
          <w:lang w:eastAsia="zh-CN"/>
        </w:rPr>
        <w:t>low NR band aggregation via switching</w:t>
      </w:r>
      <w:r w:rsidRPr="000B0294">
        <w:rPr>
          <w:sz w:val="20"/>
          <w:szCs w:val="20"/>
        </w:rPr>
        <w:t xml:space="preserve"> </w:t>
      </w:r>
      <w:r>
        <w:rPr>
          <w:sz w:val="20"/>
          <w:szCs w:val="20"/>
        </w:rPr>
        <w:t xml:space="preserve">was introduced to address challenges that exist for LB-LB inter-band carrier aggregation when traditional </w:t>
      </w:r>
      <w:r w:rsidR="00C60110">
        <w:rPr>
          <w:sz w:val="20"/>
          <w:szCs w:val="20"/>
        </w:rPr>
        <w:t>aggregation techniques (single antenna with multiplexers) are used. Only CA combinations involving an SDL band and a FDD band w</w:t>
      </w:r>
      <w:r w:rsidR="00BA468D">
        <w:rPr>
          <w:sz w:val="20"/>
          <w:szCs w:val="20"/>
        </w:rPr>
        <w:t>ere</w:t>
      </w:r>
      <w:r w:rsidR="00C60110">
        <w:rPr>
          <w:sz w:val="20"/>
          <w:szCs w:val="20"/>
        </w:rPr>
        <w:t xml:space="preserve"> considered. Under this switching</w:t>
      </w:r>
      <w:r w:rsidR="00C60110" w:rsidRPr="000B0294">
        <w:rPr>
          <w:rFonts w:eastAsia="DengXian"/>
          <w:sz w:val="20"/>
          <w:szCs w:val="20"/>
          <w:lang w:eastAsia="zh-CN"/>
        </w:rPr>
        <w:t xml:space="preserve">, </w:t>
      </w:r>
      <w:r w:rsidR="00C60110" w:rsidRPr="000B0294">
        <w:rPr>
          <w:sz w:val="20"/>
          <w:szCs w:val="20"/>
        </w:rPr>
        <w:t>when the SCell</w:t>
      </w:r>
      <w:r w:rsidR="00C60110">
        <w:rPr>
          <w:sz w:val="20"/>
          <w:szCs w:val="20"/>
        </w:rPr>
        <w:t xml:space="preserve"> (</w:t>
      </w:r>
      <w:r w:rsidR="00C60110" w:rsidRPr="000B0294">
        <w:rPr>
          <w:sz w:val="20"/>
          <w:szCs w:val="20"/>
        </w:rPr>
        <w:t xml:space="preserve"> operation is triggered, the UE needs to switch to the SCell, and during the operation period there is no simultaneous Tx/Rx between the PCell and the SCell</w:t>
      </w:r>
      <w:r w:rsidR="00432835" w:rsidRPr="000B0294">
        <w:rPr>
          <w:rFonts w:eastAsia="DengXian"/>
          <w:sz w:val="20"/>
          <w:szCs w:val="20"/>
          <w:lang w:eastAsia="zh-CN"/>
        </w:rPr>
        <w:t>.</w:t>
      </w:r>
    </w:p>
    <w:p w14:paraId="43B763A2" w14:textId="48363113" w:rsidR="00C94848" w:rsidRDefault="00C94848" w:rsidP="00432835">
      <w:pPr>
        <w:spacing w:after="180"/>
        <w:ind w:firstLine="284"/>
        <w:jc w:val="both"/>
        <w:rPr>
          <w:rFonts w:eastAsia="DengXian"/>
          <w:sz w:val="20"/>
          <w:szCs w:val="20"/>
          <w:lang w:eastAsia="zh-CN"/>
        </w:rPr>
      </w:pPr>
      <w:r>
        <w:rPr>
          <w:rFonts w:eastAsia="DengXian"/>
          <w:sz w:val="20"/>
          <w:szCs w:val="20"/>
          <w:lang w:eastAsia="zh-CN"/>
        </w:rPr>
        <w:t xml:space="preserve">With the goal to increase the UE DL throughput, enhancements to this feature was recently introduced in Rel-20 by allowing two downlink (DL) carriers to be simultaneously enabled. </w:t>
      </w:r>
      <w:r w:rsidRPr="00C94848">
        <w:rPr>
          <w:rFonts w:eastAsia="DengXian"/>
          <w:sz w:val="20"/>
          <w:szCs w:val="20"/>
          <w:lang w:eastAsia="zh-CN"/>
        </w:rPr>
        <w:t xml:space="preserve">Under this </w:t>
      </w:r>
      <w:r>
        <w:rPr>
          <w:rFonts w:eastAsia="DengXian"/>
          <w:sz w:val="20"/>
          <w:szCs w:val="20"/>
          <w:lang w:eastAsia="zh-CN"/>
        </w:rPr>
        <w:t>enhancement, the UE can switch between case 1 and case 3 as described below and captured in Figure 1:</w:t>
      </w:r>
    </w:p>
    <w:p w14:paraId="49BEBEE5" w14:textId="48F4F44E" w:rsidR="00C94848" w:rsidRDefault="00C94848" w:rsidP="00C94848">
      <w:pPr>
        <w:pStyle w:val="ListParagraph"/>
        <w:numPr>
          <w:ilvl w:val="0"/>
          <w:numId w:val="75"/>
        </w:numPr>
        <w:overflowPunct w:val="0"/>
        <w:autoSpaceDE w:val="0"/>
        <w:autoSpaceDN w:val="0"/>
        <w:adjustRightInd w:val="0"/>
        <w:textAlignment w:val="baseline"/>
        <w:rPr>
          <w:color w:val="000000" w:themeColor="text1"/>
          <w:sz w:val="20"/>
          <w:szCs w:val="20"/>
        </w:rPr>
      </w:pPr>
      <w:r w:rsidRPr="00C94848">
        <w:rPr>
          <w:color w:val="000000" w:themeColor="text1"/>
          <w:sz w:val="20"/>
          <w:szCs w:val="20"/>
        </w:rPr>
        <w:t>Case 1: Tx/Rx on FDD carrier 1 and no Rx on SDL carrier 2</w:t>
      </w:r>
    </w:p>
    <w:p w14:paraId="26A8553A" w14:textId="77777777" w:rsidR="00C94848" w:rsidRPr="00C94848" w:rsidRDefault="00C94848" w:rsidP="00C94848">
      <w:pPr>
        <w:pStyle w:val="ListParagraph"/>
        <w:numPr>
          <w:ilvl w:val="0"/>
          <w:numId w:val="75"/>
        </w:numPr>
        <w:spacing w:after="180"/>
        <w:jc w:val="both"/>
        <w:rPr>
          <w:rFonts w:eastAsia="DengXian"/>
          <w:sz w:val="20"/>
          <w:szCs w:val="20"/>
          <w:lang w:eastAsia="zh-CN"/>
        </w:rPr>
      </w:pPr>
      <w:r w:rsidRPr="00C94848">
        <w:rPr>
          <w:color w:val="000000" w:themeColor="text1"/>
          <w:sz w:val="20"/>
          <w:szCs w:val="20"/>
        </w:rPr>
        <w:t xml:space="preserve">Case </w:t>
      </w:r>
      <w:r w:rsidRPr="00C94848">
        <w:rPr>
          <w:rFonts w:hint="eastAsia"/>
          <w:color w:val="000000" w:themeColor="text1"/>
          <w:sz w:val="20"/>
          <w:szCs w:val="20"/>
          <w:lang w:eastAsia="zh-CN"/>
        </w:rPr>
        <w:t>3</w:t>
      </w:r>
      <w:r w:rsidRPr="00C94848">
        <w:rPr>
          <w:color w:val="000000" w:themeColor="text1"/>
          <w:sz w:val="20"/>
          <w:szCs w:val="20"/>
        </w:rPr>
        <w:t>: Rx on both FDD carrier 1 and SDL carrier 2 and no Tx on FDD carrier 1</w:t>
      </w:r>
    </w:p>
    <w:p w14:paraId="3D594F77" w14:textId="452DC75E" w:rsidR="00BA468D" w:rsidRDefault="00C94848" w:rsidP="00BA468D">
      <w:pPr>
        <w:spacing w:after="180"/>
        <w:ind w:firstLine="284"/>
        <w:jc w:val="center"/>
        <w:rPr>
          <w:rFonts w:eastAsia="DengXian"/>
          <w:sz w:val="20"/>
          <w:szCs w:val="20"/>
          <w:lang w:eastAsia="zh-CN"/>
        </w:rPr>
      </w:pPr>
      <w:r w:rsidRPr="00C94848">
        <w:rPr>
          <w:rFonts w:eastAsia="DengXian"/>
          <w:noProof/>
          <w:sz w:val="20"/>
          <w:szCs w:val="20"/>
          <w:lang w:eastAsia="zh-CN"/>
        </w:rPr>
        <w:lastRenderedPageBreak/>
        <w:drawing>
          <wp:inline distT="0" distB="0" distL="0" distR="0" wp14:anchorId="08463752" wp14:editId="41CCB4FF">
            <wp:extent cx="3501330" cy="2103863"/>
            <wp:effectExtent l="0" t="0" r="4445" b="4445"/>
            <wp:docPr id="13751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164090" name=""/>
                    <pic:cNvPicPr/>
                  </pic:nvPicPr>
                  <pic:blipFill>
                    <a:blip r:embed="rId9"/>
                    <a:stretch>
                      <a:fillRect/>
                    </a:stretch>
                  </pic:blipFill>
                  <pic:spPr>
                    <a:xfrm>
                      <a:off x="0" y="0"/>
                      <a:ext cx="3540838" cy="2127603"/>
                    </a:xfrm>
                    <a:prstGeom prst="rect">
                      <a:avLst/>
                    </a:prstGeom>
                  </pic:spPr>
                </pic:pic>
              </a:graphicData>
            </a:graphic>
          </wp:inline>
        </w:drawing>
      </w:r>
    </w:p>
    <w:p w14:paraId="013C628F" w14:textId="77777777" w:rsidR="00C94848" w:rsidRPr="00C94848" w:rsidRDefault="00C94848" w:rsidP="00C94848">
      <w:pPr>
        <w:pStyle w:val="TF"/>
        <w:spacing w:after="0"/>
        <w:ind w:left="1260" w:hanging="420"/>
        <w:rPr>
          <w:rFonts w:ascii="Times New Roman" w:hAnsi="Times New Roman"/>
          <w:b w:val="0"/>
          <w:bCs/>
          <w:i/>
          <w:iCs/>
          <w:sz w:val="20"/>
          <w:szCs w:val="20"/>
        </w:rPr>
      </w:pPr>
      <w:r w:rsidRPr="00C94848">
        <w:rPr>
          <w:rFonts w:ascii="Times New Roman" w:hAnsi="Times New Roman"/>
          <w:i/>
          <w:iCs/>
          <w:sz w:val="20"/>
          <w:szCs w:val="20"/>
        </w:rPr>
        <w:t>Figure 2.1-1:</w:t>
      </w:r>
      <w:r w:rsidRPr="00C94848">
        <w:rPr>
          <w:rFonts w:ascii="Times New Roman" w:hAnsi="Times New Roman"/>
          <w:b w:val="0"/>
          <w:bCs/>
          <w:i/>
          <w:iCs/>
          <w:sz w:val="20"/>
          <w:szCs w:val="20"/>
        </w:rPr>
        <w:tab/>
      </w:r>
      <w:r w:rsidRPr="00C94848">
        <w:rPr>
          <w:rFonts w:ascii="Times New Roman" w:hAnsi="Times New Roman"/>
          <w:b w:val="0"/>
          <w:bCs/>
          <w:sz w:val="20"/>
          <w:szCs w:val="20"/>
        </w:rPr>
        <w:t>Simplified model for realizing CA aggregation between n5 and n29 through switching</w:t>
      </w:r>
    </w:p>
    <w:p w14:paraId="58B9C89B" w14:textId="77777777" w:rsidR="00BA468D" w:rsidRPr="00C94848" w:rsidRDefault="00BA468D" w:rsidP="00432835">
      <w:pPr>
        <w:spacing w:after="180"/>
        <w:ind w:firstLine="284"/>
        <w:jc w:val="both"/>
        <w:rPr>
          <w:rFonts w:eastAsia="DengXian"/>
          <w:sz w:val="20"/>
          <w:szCs w:val="20"/>
          <w:lang w:eastAsia="zh-CN"/>
        </w:rPr>
      </w:pPr>
    </w:p>
    <w:p w14:paraId="5D7DA609" w14:textId="3ABE08A7" w:rsidR="00BA468D" w:rsidRDefault="00C94848" w:rsidP="00432835">
      <w:pPr>
        <w:spacing w:after="180"/>
        <w:ind w:firstLine="284"/>
        <w:jc w:val="both"/>
        <w:rPr>
          <w:rFonts w:eastAsia="DengXian"/>
          <w:sz w:val="20"/>
          <w:szCs w:val="20"/>
          <w:lang w:eastAsia="zh-CN"/>
        </w:rPr>
      </w:pPr>
      <w:r w:rsidRPr="00C94848">
        <w:rPr>
          <w:rFonts w:eastAsia="DengXian"/>
          <w:noProof/>
          <w:sz w:val="20"/>
          <w:szCs w:val="20"/>
          <w:lang w:eastAsia="zh-CN"/>
        </w:rPr>
        <w:drawing>
          <wp:inline distT="0" distB="0" distL="0" distR="0" wp14:anchorId="275ECA28" wp14:editId="6EC54B00">
            <wp:extent cx="5597912" cy="1292496"/>
            <wp:effectExtent l="0" t="0" r="3175" b="3175"/>
            <wp:docPr id="1147559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559303" name=""/>
                    <pic:cNvPicPr/>
                  </pic:nvPicPr>
                  <pic:blipFill>
                    <a:blip r:embed="rId10"/>
                    <a:stretch>
                      <a:fillRect/>
                    </a:stretch>
                  </pic:blipFill>
                  <pic:spPr>
                    <a:xfrm>
                      <a:off x="0" y="0"/>
                      <a:ext cx="5629185" cy="1299717"/>
                    </a:xfrm>
                    <a:prstGeom prst="rect">
                      <a:avLst/>
                    </a:prstGeom>
                  </pic:spPr>
                </pic:pic>
              </a:graphicData>
            </a:graphic>
          </wp:inline>
        </w:drawing>
      </w:r>
    </w:p>
    <w:p w14:paraId="6BAEFA87" w14:textId="46BF8671" w:rsidR="00C94848" w:rsidRPr="00C94848" w:rsidRDefault="00C94848" w:rsidP="00C94848">
      <w:pPr>
        <w:pStyle w:val="TF"/>
        <w:spacing w:after="0"/>
        <w:ind w:left="1260" w:hanging="420"/>
        <w:rPr>
          <w:rFonts w:ascii="Times New Roman" w:hAnsi="Times New Roman"/>
          <w:b w:val="0"/>
          <w:bCs/>
          <w:i/>
          <w:iCs/>
          <w:sz w:val="20"/>
          <w:szCs w:val="20"/>
        </w:rPr>
      </w:pPr>
      <w:r w:rsidRPr="00C94848">
        <w:rPr>
          <w:rFonts w:ascii="Times New Roman" w:hAnsi="Times New Roman"/>
          <w:i/>
          <w:iCs/>
          <w:sz w:val="20"/>
          <w:szCs w:val="20"/>
        </w:rPr>
        <w:t>Figure 2.1-</w:t>
      </w:r>
      <w:r>
        <w:rPr>
          <w:rFonts w:ascii="Times New Roman" w:hAnsi="Times New Roman"/>
          <w:i/>
          <w:iCs/>
          <w:sz w:val="20"/>
          <w:szCs w:val="20"/>
        </w:rPr>
        <w:t>2</w:t>
      </w:r>
      <w:r w:rsidRPr="00C94848">
        <w:rPr>
          <w:rFonts w:ascii="Times New Roman" w:hAnsi="Times New Roman"/>
          <w:i/>
          <w:iCs/>
          <w:sz w:val="20"/>
          <w:szCs w:val="20"/>
        </w:rPr>
        <w:t>:</w:t>
      </w:r>
      <w:r w:rsidRPr="00C94848">
        <w:rPr>
          <w:rFonts w:ascii="Times New Roman" w:hAnsi="Times New Roman"/>
          <w:b w:val="0"/>
          <w:bCs/>
          <w:i/>
          <w:iCs/>
          <w:sz w:val="20"/>
          <w:szCs w:val="20"/>
        </w:rPr>
        <w:tab/>
      </w:r>
      <w:r>
        <w:rPr>
          <w:rFonts w:ascii="Times New Roman" w:hAnsi="Times New Roman"/>
          <w:b w:val="0"/>
          <w:bCs/>
          <w:sz w:val="20"/>
          <w:szCs w:val="20"/>
        </w:rPr>
        <w:t>Examples of CA combos supporting NR_LBCA_Sw-enh</w:t>
      </w:r>
    </w:p>
    <w:p w14:paraId="10D87726" w14:textId="77777777" w:rsidR="00BA468D" w:rsidRDefault="00BA468D" w:rsidP="00432835">
      <w:pPr>
        <w:spacing w:after="180"/>
        <w:ind w:firstLine="284"/>
        <w:jc w:val="both"/>
        <w:rPr>
          <w:rFonts w:eastAsia="DengXian"/>
          <w:sz w:val="20"/>
          <w:szCs w:val="20"/>
          <w:lang w:eastAsia="zh-CN"/>
        </w:rPr>
      </w:pPr>
    </w:p>
    <w:p w14:paraId="29691CD9" w14:textId="464EEB6E" w:rsidR="00C94848" w:rsidRPr="00BA468D" w:rsidRDefault="00C94848" w:rsidP="00C94848">
      <w:pPr>
        <w:pStyle w:val="ListParagraph"/>
        <w:numPr>
          <w:ilvl w:val="1"/>
          <w:numId w:val="11"/>
        </w:numPr>
        <w:jc w:val="both"/>
        <w:rPr>
          <w:b/>
          <w:bCs/>
          <w:sz w:val="22"/>
          <w:szCs w:val="22"/>
        </w:rPr>
      </w:pPr>
      <w:r>
        <w:rPr>
          <w:b/>
          <w:bCs/>
          <w:sz w:val="22"/>
          <w:szCs w:val="22"/>
        </w:rPr>
        <w:t xml:space="preserve">Reference RF front-end architecture </w:t>
      </w:r>
    </w:p>
    <w:p w14:paraId="14C3C615" w14:textId="77777777" w:rsidR="00C94848" w:rsidRDefault="00C94848" w:rsidP="00C94848">
      <w:pPr>
        <w:ind w:left="284"/>
        <w:jc w:val="both"/>
        <w:rPr>
          <w:sz w:val="20"/>
          <w:szCs w:val="20"/>
        </w:rPr>
      </w:pPr>
    </w:p>
    <w:p w14:paraId="0B6C078C" w14:textId="77777777" w:rsidR="00C94848" w:rsidRDefault="00C94848" w:rsidP="00C94848">
      <w:pPr>
        <w:ind w:left="284"/>
        <w:jc w:val="both"/>
        <w:rPr>
          <w:sz w:val="20"/>
          <w:szCs w:val="20"/>
        </w:rPr>
      </w:pPr>
      <w:r w:rsidRPr="00C94848">
        <w:rPr>
          <w:sz w:val="20"/>
          <w:szCs w:val="20"/>
        </w:rPr>
        <w:t xml:space="preserve">As captured </w:t>
      </w:r>
      <w:r>
        <w:rPr>
          <w:sz w:val="20"/>
          <w:szCs w:val="20"/>
        </w:rPr>
        <w:t xml:space="preserve">in Figure 2.1-2 shown above, the two DLs are either adjacent (CA_n28-n67) or relatively very close in frequency (CA_n12-n29). This implies that a new wider RX filter could be designed to cover both DLs. Ass a result of this, the following UE architecture could be considered. </w:t>
      </w:r>
    </w:p>
    <w:p w14:paraId="48DBE22D" w14:textId="2E5D7F91" w:rsidR="00C94848" w:rsidRPr="00C94848" w:rsidRDefault="00C94848" w:rsidP="00C94848">
      <w:pPr>
        <w:ind w:left="284"/>
        <w:jc w:val="both"/>
        <w:rPr>
          <w:sz w:val="20"/>
          <w:szCs w:val="20"/>
        </w:rPr>
      </w:pPr>
    </w:p>
    <w:p w14:paraId="1459C586" w14:textId="77777777" w:rsidR="00C94848" w:rsidRDefault="00C94848" w:rsidP="00C94848">
      <w:pPr>
        <w:pStyle w:val="Observation"/>
        <w:rPr>
          <w:sz w:val="20"/>
          <w:szCs w:val="20"/>
        </w:rPr>
      </w:pPr>
      <w:r w:rsidRPr="00C94848">
        <w:rPr>
          <w:b/>
          <w:bCs/>
          <w:sz w:val="20"/>
          <w:szCs w:val="20"/>
        </w:rPr>
        <w:t xml:space="preserve">     Observation 1:</w:t>
      </w:r>
      <w:r w:rsidRPr="00C94848">
        <w:rPr>
          <w:b/>
          <w:bCs/>
          <w:sz w:val="20"/>
          <w:szCs w:val="20"/>
        </w:rPr>
        <w:tab/>
      </w:r>
      <w:r>
        <w:rPr>
          <w:sz w:val="20"/>
          <w:szCs w:val="20"/>
        </w:rPr>
        <w:t>The two DLs are either adjacent (CA_n28-n67) or relatively very close in frequency</w:t>
      </w:r>
    </w:p>
    <w:p w14:paraId="38EB87D6" w14:textId="498CBA3F" w:rsidR="00C94848" w:rsidRDefault="00C94848" w:rsidP="00C94848">
      <w:pPr>
        <w:pStyle w:val="Observation"/>
        <w:rPr>
          <w:sz w:val="20"/>
          <w:szCs w:val="20"/>
        </w:rPr>
      </w:pPr>
      <w:r>
        <w:rPr>
          <w:b/>
          <w:bCs/>
          <w:sz w:val="20"/>
          <w:szCs w:val="20"/>
        </w:rPr>
        <w:t xml:space="preserve">    </w:t>
      </w:r>
      <w:r>
        <w:rPr>
          <w:sz w:val="20"/>
          <w:szCs w:val="20"/>
        </w:rPr>
        <w:t xml:space="preserve"> (CA_n12-n29). This implies that a new wider RX filter could be designed to cover both DLs. </w:t>
      </w:r>
    </w:p>
    <w:p w14:paraId="71CEE538" w14:textId="77777777" w:rsidR="00C94848" w:rsidRPr="00C94848" w:rsidRDefault="00C94848" w:rsidP="00C94848">
      <w:pPr>
        <w:pStyle w:val="Observation"/>
        <w:rPr>
          <w:i w:val="0"/>
          <w:iCs/>
          <w:sz w:val="20"/>
          <w:szCs w:val="20"/>
        </w:rPr>
      </w:pPr>
    </w:p>
    <w:p w14:paraId="153C0248" w14:textId="551D10B7" w:rsidR="00C94848" w:rsidRDefault="00C94848" w:rsidP="00C94848">
      <w:pPr>
        <w:pStyle w:val="Observation"/>
        <w:jc w:val="center"/>
        <w:rPr>
          <w:i w:val="0"/>
          <w:iCs/>
          <w:sz w:val="20"/>
          <w:szCs w:val="20"/>
        </w:rPr>
      </w:pPr>
      <w:r w:rsidRPr="00C94848">
        <w:rPr>
          <w:rFonts w:eastAsia="DengXian"/>
          <w:noProof/>
          <w:sz w:val="20"/>
          <w:szCs w:val="20"/>
          <w:lang w:eastAsia="zh-CN"/>
        </w:rPr>
        <w:drawing>
          <wp:inline distT="0" distB="0" distL="0" distR="0" wp14:anchorId="5717211C" wp14:editId="5EE7E9C7">
            <wp:extent cx="3575825" cy="3147435"/>
            <wp:effectExtent l="0" t="0" r="5715" b="2540"/>
            <wp:docPr id="2131234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79414" name=""/>
                    <pic:cNvPicPr/>
                  </pic:nvPicPr>
                  <pic:blipFill>
                    <a:blip r:embed="rId11"/>
                    <a:stretch>
                      <a:fillRect/>
                    </a:stretch>
                  </pic:blipFill>
                  <pic:spPr>
                    <a:xfrm>
                      <a:off x="0" y="0"/>
                      <a:ext cx="3718870" cy="3273343"/>
                    </a:xfrm>
                    <a:prstGeom prst="rect">
                      <a:avLst/>
                    </a:prstGeom>
                  </pic:spPr>
                </pic:pic>
              </a:graphicData>
            </a:graphic>
          </wp:inline>
        </w:drawing>
      </w:r>
    </w:p>
    <w:p w14:paraId="025A6E0C" w14:textId="386FA2FD" w:rsidR="00C94848" w:rsidRDefault="00C94848" w:rsidP="00C94848">
      <w:pPr>
        <w:pStyle w:val="Observation"/>
        <w:jc w:val="center"/>
        <w:rPr>
          <w:b/>
          <w:bCs/>
          <w:sz w:val="20"/>
          <w:szCs w:val="20"/>
        </w:rPr>
      </w:pPr>
      <w:r w:rsidRPr="00C94848">
        <w:rPr>
          <w:iCs/>
          <w:sz w:val="20"/>
          <w:szCs w:val="20"/>
        </w:rPr>
        <w:t>Figure 2.1-</w:t>
      </w:r>
      <w:r>
        <w:rPr>
          <w:i w:val="0"/>
          <w:iCs/>
          <w:sz w:val="20"/>
          <w:szCs w:val="20"/>
        </w:rPr>
        <w:t>2</w:t>
      </w:r>
      <w:r w:rsidRPr="00C94848">
        <w:rPr>
          <w:iCs/>
          <w:sz w:val="20"/>
          <w:szCs w:val="20"/>
        </w:rPr>
        <w:t>:</w:t>
      </w:r>
      <w:r w:rsidRPr="00C94848">
        <w:rPr>
          <w:bCs/>
          <w:iCs/>
          <w:sz w:val="20"/>
          <w:szCs w:val="20"/>
        </w:rPr>
        <w:tab/>
      </w:r>
      <w:r>
        <w:rPr>
          <w:b/>
          <w:bCs/>
          <w:sz w:val="20"/>
          <w:szCs w:val="20"/>
        </w:rPr>
        <w:t>Architecture for combos supporting NR_LBCA_Sw-enh</w:t>
      </w:r>
    </w:p>
    <w:p w14:paraId="61FFE0E4" w14:textId="77777777" w:rsidR="00C94848" w:rsidRDefault="00C94848" w:rsidP="00C94848">
      <w:pPr>
        <w:pStyle w:val="Observation"/>
        <w:jc w:val="center"/>
        <w:rPr>
          <w:i w:val="0"/>
          <w:iCs/>
          <w:sz w:val="20"/>
          <w:szCs w:val="20"/>
        </w:rPr>
      </w:pPr>
    </w:p>
    <w:p w14:paraId="72EB4554" w14:textId="77777777" w:rsidR="00C94848" w:rsidRDefault="00C94848" w:rsidP="00C94848">
      <w:pPr>
        <w:pStyle w:val="Observation"/>
        <w:jc w:val="center"/>
        <w:rPr>
          <w:i w:val="0"/>
          <w:iCs/>
          <w:sz w:val="20"/>
          <w:szCs w:val="20"/>
        </w:rPr>
      </w:pPr>
    </w:p>
    <w:p w14:paraId="2099A168" w14:textId="77777777" w:rsidR="00432835" w:rsidRDefault="00432835" w:rsidP="00432835">
      <w:pPr>
        <w:pStyle w:val="TF"/>
        <w:spacing w:after="0"/>
        <w:jc w:val="both"/>
        <w:rPr>
          <w:rFonts w:ascii="Times New Roman" w:hAnsi="Times New Roman"/>
          <w:b w:val="0"/>
          <w:bCs/>
          <w:sz w:val="22"/>
        </w:rPr>
      </w:pPr>
    </w:p>
    <w:p w14:paraId="4B1FBE9B" w14:textId="278521FE" w:rsidR="00432835" w:rsidRPr="000B0294" w:rsidRDefault="00C94848" w:rsidP="00432835">
      <w:pPr>
        <w:pStyle w:val="ListParagraph"/>
        <w:numPr>
          <w:ilvl w:val="1"/>
          <w:numId w:val="11"/>
        </w:numPr>
        <w:jc w:val="both"/>
        <w:rPr>
          <w:b/>
          <w:bCs/>
          <w:sz w:val="22"/>
          <w:szCs w:val="22"/>
        </w:rPr>
      </w:pPr>
      <w:r>
        <w:rPr>
          <w:b/>
          <w:bCs/>
          <w:sz w:val="22"/>
          <w:szCs w:val="22"/>
        </w:rPr>
        <w:t>Initial views on the switching period</w:t>
      </w:r>
    </w:p>
    <w:p w14:paraId="1BE0126F" w14:textId="0EE2D9F1" w:rsidR="00432835" w:rsidRPr="00C94848" w:rsidRDefault="00432835" w:rsidP="00432835">
      <w:pPr>
        <w:spacing w:after="180"/>
        <w:ind w:firstLine="284"/>
        <w:jc w:val="both"/>
        <w:rPr>
          <w:sz w:val="20"/>
          <w:szCs w:val="20"/>
        </w:rPr>
      </w:pPr>
      <w:r w:rsidRPr="00C94848">
        <w:rPr>
          <w:sz w:val="20"/>
          <w:szCs w:val="20"/>
        </w:rPr>
        <w:t xml:space="preserve">During the band switching process, several events have to occur within the UE baseband, transceiver, and RF front end. Depending on the UE implementation, the main events that could potentially contribute to the switching </w:t>
      </w:r>
      <w:r w:rsidR="00C94848">
        <w:rPr>
          <w:sz w:val="20"/>
          <w:szCs w:val="20"/>
        </w:rPr>
        <w:t>period</w:t>
      </w:r>
      <w:r w:rsidRPr="00C94848">
        <w:rPr>
          <w:sz w:val="20"/>
          <w:szCs w:val="20"/>
        </w:rPr>
        <w:t xml:space="preserve"> are the following:</w:t>
      </w:r>
    </w:p>
    <w:p w14:paraId="7E2FE2CB" w14:textId="77777777" w:rsidR="00432835" w:rsidRPr="00C94848" w:rsidRDefault="00432835" w:rsidP="00432835">
      <w:pPr>
        <w:pStyle w:val="ListParagraph"/>
        <w:numPr>
          <w:ilvl w:val="0"/>
          <w:numId w:val="55"/>
        </w:numPr>
        <w:spacing w:after="180"/>
        <w:jc w:val="both"/>
        <w:rPr>
          <w:rFonts w:eastAsia="DengXian"/>
          <w:sz w:val="20"/>
          <w:szCs w:val="20"/>
        </w:rPr>
      </w:pPr>
      <w:r w:rsidRPr="00C94848">
        <w:rPr>
          <w:sz w:val="20"/>
          <w:szCs w:val="20"/>
        </w:rPr>
        <w:t>PLL settling and relocking (or retuning), depending on the PLL architecture</w:t>
      </w:r>
    </w:p>
    <w:p w14:paraId="0E1C87FA" w14:textId="77777777" w:rsidR="00432835" w:rsidRPr="00C94848" w:rsidRDefault="00432835" w:rsidP="00432835">
      <w:pPr>
        <w:pStyle w:val="ListParagraph"/>
        <w:numPr>
          <w:ilvl w:val="0"/>
          <w:numId w:val="55"/>
        </w:numPr>
        <w:spacing w:after="180"/>
        <w:jc w:val="both"/>
        <w:rPr>
          <w:rFonts w:eastAsia="DengXian"/>
          <w:sz w:val="20"/>
          <w:szCs w:val="20"/>
        </w:rPr>
      </w:pPr>
      <w:r w:rsidRPr="00C94848">
        <w:rPr>
          <w:sz w:val="20"/>
          <w:szCs w:val="20"/>
        </w:rPr>
        <w:t>Antenna tuning</w:t>
      </w:r>
    </w:p>
    <w:p w14:paraId="77992974" w14:textId="77777777" w:rsidR="00432835" w:rsidRPr="00C94848" w:rsidRDefault="00432835" w:rsidP="00432835">
      <w:pPr>
        <w:pStyle w:val="ListParagraph"/>
        <w:numPr>
          <w:ilvl w:val="0"/>
          <w:numId w:val="55"/>
        </w:numPr>
        <w:spacing w:after="180"/>
        <w:jc w:val="both"/>
        <w:rPr>
          <w:rFonts w:eastAsia="DengXian"/>
          <w:sz w:val="20"/>
          <w:szCs w:val="20"/>
        </w:rPr>
      </w:pPr>
      <w:r w:rsidRPr="00C94848">
        <w:rPr>
          <w:sz w:val="20"/>
          <w:szCs w:val="20"/>
        </w:rPr>
        <w:t>RFFE parameters loading, including ET parameters</w:t>
      </w:r>
    </w:p>
    <w:p w14:paraId="49D84AB7" w14:textId="77777777" w:rsidR="00432835" w:rsidRPr="00C94848" w:rsidRDefault="00432835" w:rsidP="00432835">
      <w:pPr>
        <w:pStyle w:val="ListParagraph"/>
        <w:numPr>
          <w:ilvl w:val="0"/>
          <w:numId w:val="55"/>
        </w:numPr>
        <w:spacing w:after="180"/>
        <w:jc w:val="both"/>
        <w:rPr>
          <w:rFonts w:eastAsia="DengXian"/>
          <w:sz w:val="20"/>
          <w:szCs w:val="20"/>
        </w:rPr>
      </w:pPr>
      <w:r w:rsidRPr="00C94848">
        <w:rPr>
          <w:sz w:val="20"/>
          <w:szCs w:val="20"/>
        </w:rPr>
        <w:t xml:space="preserve">RFIC programming and calibration, </w:t>
      </w:r>
      <w:r w:rsidRPr="00C94848">
        <w:rPr>
          <w:rFonts w:eastAsia="DengXian"/>
          <w:sz w:val="20"/>
          <w:szCs w:val="20"/>
        </w:rPr>
        <w:t xml:space="preserve"> </w:t>
      </w:r>
    </w:p>
    <w:p w14:paraId="09B726D3" w14:textId="51080BFC" w:rsidR="00432835" w:rsidRDefault="00C94848" w:rsidP="00432835">
      <w:pPr>
        <w:spacing w:after="180"/>
        <w:jc w:val="both"/>
        <w:rPr>
          <w:rFonts w:eastAsia="DengXian"/>
          <w:sz w:val="20"/>
          <w:szCs w:val="20"/>
          <w:lang w:eastAsia="zh-CN"/>
        </w:rPr>
      </w:pPr>
      <w:r>
        <w:rPr>
          <w:rFonts w:eastAsia="DengXian"/>
          <w:sz w:val="20"/>
          <w:szCs w:val="20"/>
          <w:lang w:eastAsia="zh-CN"/>
        </w:rPr>
        <w:t>As captured in Figure 2.1-1, n29 spectrum is withing the n12 spectrum. Therefore, the existing n12 antenna could be used for n29 without any antenna tuning. Likewise, antenna tuning may not be needed for CA_n28-n67</w:t>
      </w:r>
      <w:r w:rsidR="00D70726">
        <w:rPr>
          <w:rFonts w:eastAsia="DengXian"/>
          <w:sz w:val="20"/>
          <w:szCs w:val="20"/>
          <w:lang w:eastAsia="zh-CN"/>
        </w:rPr>
        <w:t xml:space="preserve"> since n67 </w:t>
      </w:r>
      <w:r>
        <w:rPr>
          <w:rFonts w:eastAsia="DengXian"/>
          <w:sz w:val="20"/>
          <w:szCs w:val="20"/>
          <w:lang w:eastAsia="zh-CN"/>
        </w:rPr>
        <w:t>.</w:t>
      </w:r>
    </w:p>
    <w:p w14:paraId="7194C0D8" w14:textId="502D597F" w:rsidR="00C94848" w:rsidRDefault="00C94848" w:rsidP="00432835">
      <w:pPr>
        <w:spacing w:after="180"/>
        <w:jc w:val="both"/>
        <w:rPr>
          <w:i/>
          <w:iCs/>
          <w:sz w:val="20"/>
          <w:szCs w:val="20"/>
        </w:rPr>
      </w:pPr>
      <w:r w:rsidRPr="00C94848">
        <w:rPr>
          <w:b/>
          <w:bCs/>
          <w:i/>
          <w:iCs/>
          <w:sz w:val="20"/>
          <w:szCs w:val="20"/>
        </w:rPr>
        <w:t xml:space="preserve">Observation </w:t>
      </w:r>
      <w:r>
        <w:rPr>
          <w:b/>
          <w:bCs/>
          <w:i/>
          <w:iCs/>
          <w:sz w:val="20"/>
          <w:szCs w:val="20"/>
        </w:rPr>
        <w:t>2</w:t>
      </w:r>
      <w:r w:rsidRPr="00C94848">
        <w:rPr>
          <w:b/>
          <w:bCs/>
          <w:i/>
          <w:iCs/>
          <w:sz w:val="20"/>
          <w:szCs w:val="20"/>
        </w:rPr>
        <w:t>:</w:t>
      </w:r>
      <w:r w:rsidRPr="00C94848">
        <w:rPr>
          <w:b/>
          <w:bCs/>
          <w:i/>
          <w:iCs/>
          <w:sz w:val="20"/>
          <w:szCs w:val="20"/>
        </w:rPr>
        <w:tab/>
      </w:r>
      <w:r w:rsidRPr="00C94848">
        <w:rPr>
          <w:i/>
          <w:iCs/>
          <w:sz w:val="20"/>
          <w:szCs w:val="20"/>
        </w:rPr>
        <w:t>Because n29 is located with</w:t>
      </w:r>
      <w:r w:rsidR="00D70726">
        <w:rPr>
          <w:i/>
          <w:iCs/>
          <w:sz w:val="20"/>
          <w:szCs w:val="20"/>
        </w:rPr>
        <w:t>in</w:t>
      </w:r>
      <w:r w:rsidRPr="00C94848">
        <w:rPr>
          <w:i/>
          <w:iCs/>
          <w:sz w:val="20"/>
          <w:szCs w:val="20"/>
        </w:rPr>
        <w:t xml:space="preserve"> n12</w:t>
      </w:r>
      <w:r w:rsidR="00D70726">
        <w:rPr>
          <w:i/>
          <w:iCs/>
          <w:sz w:val="20"/>
          <w:szCs w:val="20"/>
        </w:rPr>
        <w:t xml:space="preserve"> band</w:t>
      </w:r>
      <w:r w:rsidRPr="00C94848">
        <w:rPr>
          <w:i/>
          <w:iCs/>
          <w:sz w:val="20"/>
          <w:szCs w:val="20"/>
        </w:rPr>
        <w:t>, antenna tuning may not be required when switching between n12 and n29. Likewise, antenna tuning is not required for CA_n28-n67.</w:t>
      </w:r>
    </w:p>
    <w:p w14:paraId="3487446B" w14:textId="55314429" w:rsidR="00353C8A" w:rsidRDefault="00D70726" w:rsidP="00D70726">
      <w:pPr>
        <w:spacing w:after="180"/>
        <w:rPr>
          <w:i/>
          <w:iCs/>
          <w:sz w:val="20"/>
          <w:szCs w:val="20"/>
        </w:rPr>
      </w:pPr>
      <w:r>
        <w:rPr>
          <w:b/>
          <w:bCs/>
          <w:i/>
          <w:iCs/>
          <w:sz w:val="20"/>
          <w:szCs w:val="20"/>
        </w:rPr>
        <w:t>Proposal 2</w:t>
      </w:r>
      <w:r w:rsidRPr="00C94848">
        <w:rPr>
          <w:b/>
          <w:bCs/>
          <w:i/>
          <w:iCs/>
          <w:sz w:val="20"/>
          <w:szCs w:val="20"/>
        </w:rPr>
        <w:t>:</w:t>
      </w:r>
      <w:r w:rsidRPr="00C94848">
        <w:rPr>
          <w:b/>
          <w:bCs/>
          <w:i/>
          <w:iCs/>
          <w:sz w:val="20"/>
          <w:szCs w:val="20"/>
        </w:rPr>
        <w:tab/>
      </w:r>
      <w:r w:rsidRPr="00C13258">
        <w:rPr>
          <w:rFonts w:eastAsia="DengXian"/>
          <w:i/>
          <w:iCs/>
          <w:sz w:val="20"/>
          <w:szCs w:val="20"/>
          <w:lang w:eastAsia="zh-CN"/>
        </w:rPr>
        <w:t xml:space="preserve">To accommodate different UE implementations, </w:t>
      </w:r>
      <w:r w:rsidRPr="00C13258">
        <w:rPr>
          <w:rFonts w:eastAsia="PMingLiU"/>
          <w:i/>
          <w:iCs/>
          <w:sz w:val="20"/>
          <w:szCs w:val="20"/>
          <w:lang w:eastAsia="zh-TW"/>
        </w:rPr>
        <w:t xml:space="preserve">we propose </w:t>
      </w:r>
      <w:r>
        <w:rPr>
          <w:rFonts w:eastAsia="PMingLiU"/>
          <w:i/>
          <w:iCs/>
          <w:sz w:val="20"/>
          <w:szCs w:val="20"/>
          <w:lang w:eastAsia="zh-TW"/>
        </w:rPr>
        <w:t>us</w:t>
      </w:r>
      <w:r w:rsidR="00234705">
        <w:rPr>
          <w:rFonts w:eastAsia="PMingLiU"/>
          <w:i/>
          <w:iCs/>
          <w:sz w:val="20"/>
          <w:szCs w:val="20"/>
          <w:lang w:eastAsia="zh-TW"/>
        </w:rPr>
        <w:t>ing</w:t>
      </w:r>
      <w:r>
        <w:rPr>
          <w:rFonts w:eastAsia="PMingLiU"/>
          <w:i/>
          <w:iCs/>
          <w:sz w:val="20"/>
          <w:szCs w:val="20"/>
          <w:lang w:eastAsia="zh-TW"/>
        </w:rPr>
        <w:t xml:space="preserve"> the same</w:t>
      </w:r>
      <w:r w:rsidR="00234705">
        <w:rPr>
          <w:rFonts w:eastAsia="PMingLiU"/>
          <w:i/>
          <w:iCs/>
          <w:sz w:val="20"/>
          <w:szCs w:val="20"/>
          <w:lang w:eastAsia="zh-TW"/>
        </w:rPr>
        <w:t xml:space="preserve"> switching period values used in Rel-19 (</w:t>
      </w:r>
      <w:r w:rsidR="00234705">
        <w:rPr>
          <w:rFonts w:eastAsia="PMingLiU"/>
          <w:i/>
          <w:iCs/>
          <w:sz w:val="20"/>
          <w:szCs w:val="20"/>
          <w:lang w:eastAsia="zh-TW"/>
        </w:rPr>
        <w:t>35uSec, 70uSec, and 140uSec</w:t>
      </w:r>
      <w:r w:rsidR="00234705">
        <w:rPr>
          <w:rFonts w:eastAsia="PMingLiU"/>
          <w:i/>
          <w:iCs/>
          <w:sz w:val="20"/>
          <w:szCs w:val="20"/>
          <w:lang w:eastAsia="zh-TW"/>
        </w:rPr>
        <w:t>) as a baseline to determine the periods for Rel-20.</w:t>
      </w:r>
    </w:p>
    <w:p w14:paraId="494A0D06" w14:textId="77777777" w:rsidR="00D70726" w:rsidRPr="00D70726" w:rsidRDefault="00D70726" w:rsidP="00D70726">
      <w:pPr>
        <w:spacing w:after="180"/>
        <w:rPr>
          <w:rFonts w:eastAsia="DengXian"/>
          <w:sz w:val="20"/>
          <w:szCs w:val="20"/>
          <w:lang w:eastAsia="zh-CN"/>
        </w:rPr>
      </w:pPr>
    </w:p>
    <w:p w14:paraId="62297AE1" w14:textId="77777777" w:rsidR="00353C8A" w:rsidRDefault="00353C8A" w:rsidP="00353C8A">
      <w:pPr>
        <w:jc w:val="both"/>
        <w:rPr>
          <w:rFonts w:eastAsia="SimSun"/>
          <w:bCs/>
          <w:sz w:val="20"/>
          <w:lang w:eastAsia="zh-CN"/>
        </w:rPr>
      </w:pPr>
    </w:p>
    <w:p w14:paraId="5CFA24EA" w14:textId="77777777" w:rsidR="00663F17" w:rsidRDefault="00663F17">
      <w:pPr>
        <w:rPr>
          <w:sz w:val="22"/>
        </w:rPr>
        <w:sectPr w:rsidR="00663F17" w:rsidSect="00663F17">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326"/>
        </w:sectPr>
      </w:pPr>
    </w:p>
    <w:p w14:paraId="34C99636" w14:textId="079B6DE8" w:rsidR="008E7986" w:rsidRPr="001C3438" w:rsidRDefault="008E7986" w:rsidP="008E7986">
      <w:pPr>
        <w:pStyle w:val="Heading1"/>
        <w:rPr>
          <w:rFonts w:ascii="Times New Roman" w:hAnsi="Times New Roman"/>
          <w:sz w:val="28"/>
          <w:szCs w:val="28"/>
        </w:rPr>
      </w:pPr>
      <w:r w:rsidRPr="001C3438">
        <w:rPr>
          <w:rFonts w:ascii="Times New Roman" w:hAnsi="Times New Roman"/>
          <w:sz w:val="28"/>
          <w:szCs w:val="28"/>
        </w:rPr>
        <w:lastRenderedPageBreak/>
        <w:t>3</w:t>
      </w:r>
      <w:r w:rsidRPr="001C3438">
        <w:rPr>
          <w:rFonts w:ascii="Times New Roman" w:hAnsi="Times New Roman"/>
          <w:sz w:val="28"/>
          <w:szCs w:val="28"/>
        </w:rPr>
        <w:tab/>
      </w:r>
      <w:r w:rsidRPr="001C3438">
        <w:rPr>
          <w:rFonts w:ascii="Times New Roman" w:hAnsi="Times New Roman"/>
          <w:b/>
          <w:bCs/>
          <w:sz w:val="28"/>
          <w:szCs w:val="28"/>
        </w:rPr>
        <w:t>Conclusion</w:t>
      </w:r>
      <w:r w:rsidR="00605FDA" w:rsidRPr="001C3438">
        <w:rPr>
          <w:rFonts w:ascii="Times New Roman" w:hAnsi="Times New Roman"/>
          <w:b/>
          <w:bCs/>
          <w:sz w:val="28"/>
          <w:szCs w:val="28"/>
        </w:rPr>
        <w:t>s</w:t>
      </w:r>
    </w:p>
    <w:p w14:paraId="5ED3A027" w14:textId="77777777" w:rsidR="00C94848" w:rsidRPr="00C94848" w:rsidRDefault="00C94848" w:rsidP="00C94848">
      <w:pPr>
        <w:pStyle w:val="Observation"/>
        <w:rPr>
          <w:sz w:val="20"/>
          <w:szCs w:val="20"/>
        </w:rPr>
      </w:pPr>
      <w:r w:rsidRPr="00C94848">
        <w:rPr>
          <w:b/>
          <w:bCs/>
          <w:sz w:val="20"/>
          <w:szCs w:val="20"/>
        </w:rPr>
        <w:t>Observation 1:</w:t>
      </w:r>
      <w:r w:rsidRPr="00C94848">
        <w:rPr>
          <w:b/>
          <w:bCs/>
          <w:sz w:val="20"/>
          <w:szCs w:val="20"/>
        </w:rPr>
        <w:tab/>
      </w:r>
      <w:r w:rsidRPr="00C94848">
        <w:rPr>
          <w:sz w:val="20"/>
          <w:szCs w:val="20"/>
        </w:rPr>
        <w:t>The two DLs are either adjacent (CA_n28-n67) or relatively very close in frequency</w:t>
      </w:r>
    </w:p>
    <w:p w14:paraId="26698E38" w14:textId="4F759E1D" w:rsidR="00E77E34" w:rsidRPr="00C94848" w:rsidRDefault="00C94848" w:rsidP="00C94848">
      <w:pPr>
        <w:spacing w:after="180"/>
        <w:jc w:val="both"/>
        <w:rPr>
          <w:i/>
          <w:sz w:val="20"/>
          <w:szCs w:val="20"/>
        </w:rPr>
      </w:pPr>
      <w:r w:rsidRPr="00C94848">
        <w:rPr>
          <w:i/>
          <w:sz w:val="20"/>
          <w:szCs w:val="20"/>
        </w:rPr>
        <w:t>(CA_n12-n29). This implies that a new wider RX filter could be designed to cover both DLs.</w:t>
      </w:r>
    </w:p>
    <w:p w14:paraId="205B63AE" w14:textId="77777777" w:rsidR="00D70726" w:rsidRDefault="00D70726" w:rsidP="00D70726">
      <w:pPr>
        <w:spacing w:after="180"/>
        <w:jc w:val="both"/>
        <w:rPr>
          <w:i/>
          <w:iCs/>
          <w:sz w:val="20"/>
          <w:szCs w:val="20"/>
        </w:rPr>
      </w:pPr>
      <w:r w:rsidRPr="00C94848">
        <w:rPr>
          <w:b/>
          <w:bCs/>
          <w:i/>
          <w:iCs/>
          <w:sz w:val="20"/>
          <w:szCs w:val="20"/>
        </w:rPr>
        <w:t xml:space="preserve">Observation </w:t>
      </w:r>
      <w:r>
        <w:rPr>
          <w:b/>
          <w:bCs/>
          <w:i/>
          <w:iCs/>
          <w:sz w:val="20"/>
          <w:szCs w:val="20"/>
        </w:rPr>
        <w:t>2</w:t>
      </w:r>
      <w:r w:rsidRPr="00C94848">
        <w:rPr>
          <w:b/>
          <w:bCs/>
          <w:i/>
          <w:iCs/>
          <w:sz w:val="20"/>
          <w:szCs w:val="20"/>
        </w:rPr>
        <w:t>:</w:t>
      </w:r>
      <w:r w:rsidRPr="00C94848">
        <w:rPr>
          <w:b/>
          <w:bCs/>
          <w:i/>
          <w:iCs/>
          <w:sz w:val="20"/>
          <w:szCs w:val="20"/>
        </w:rPr>
        <w:tab/>
      </w:r>
      <w:r w:rsidRPr="00C94848">
        <w:rPr>
          <w:i/>
          <w:iCs/>
          <w:sz w:val="20"/>
          <w:szCs w:val="20"/>
        </w:rPr>
        <w:t>Because n29 is located with</w:t>
      </w:r>
      <w:r>
        <w:rPr>
          <w:i/>
          <w:iCs/>
          <w:sz w:val="20"/>
          <w:szCs w:val="20"/>
        </w:rPr>
        <w:t>in</w:t>
      </w:r>
      <w:r w:rsidRPr="00C94848">
        <w:rPr>
          <w:i/>
          <w:iCs/>
          <w:sz w:val="20"/>
          <w:szCs w:val="20"/>
        </w:rPr>
        <w:t xml:space="preserve"> n12</w:t>
      </w:r>
      <w:r>
        <w:rPr>
          <w:i/>
          <w:iCs/>
          <w:sz w:val="20"/>
          <w:szCs w:val="20"/>
        </w:rPr>
        <w:t xml:space="preserve"> band</w:t>
      </w:r>
      <w:r w:rsidRPr="00C94848">
        <w:rPr>
          <w:i/>
          <w:iCs/>
          <w:sz w:val="20"/>
          <w:szCs w:val="20"/>
        </w:rPr>
        <w:t>, antenna tuning may not be required when switching between n12 and n29. Likewise, antenna tuning is not required for CA_n28-n67.</w:t>
      </w:r>
    </w:p>
    <w:p w14:paraId="14753CED" w14:textId="77777777" w:rsidR="00234705" w:rsidRDefault="00234705" w:rsidP="00234705">
      <w:pPr>
        <w:spacing w:after="180"/>
        <w:rPr>
          <w:i/>
          <w:iCs/>
          <w:sz w:val="20"/>
          <w:szCs w:val="20"/>
        </w:rPr>
      </w:pPr>
      <w:r>
        <w:rPr>
          <w:b/>
          <w:bCs/>
          <w:i/>
          <w:iCs/>
          <w:sz w:val="20"/>
          <w:szCs w:val="20"/>
        </w:rPr>
        <w:t>Proposal 2</w:t>
      </w:r>
      <w:r w:rsidRPr="00C94848">
        <w:rPr>
          <w:b/>
          <w:bCs/>
          <w:i/>
          <w:iCs/>
          <w:sz w:val="20"/>
          <w:szCs w:val="20"/>
        </w:rPr>
        <w:t>:</w:t>
      </w:r>
      <w:r w:rsidRPr="00C94848">
        <w:rPr>
          <w:b/>
          <w:bCs/>
          <w:i/>
          <w:iCs/>
          <w:sz w:val="20"/>
          <w:szCs w:val="20"/>
        </w:rPr>
        <w:tab/>
      </w:r>
      <w:r w:rsidRPr="00C13258">
        <w:rPr>
          <w:rFonts w:eastAsia="DengXian"/>
          <w:i/>
          <w:iCs/>
          <w:sz w:val="20"/>
          <w:szCs w:val="20"/>
          <w:lang w:eastAsia="zh-CN"/>
        </w:rPr>
        <w:t xml:space="preserve">To accommodate different UE implementations, </w:t>
      </w:r>
      <w:r w:rsidRPr="00C13258">
        <w:rPr>
          <w:rFonts w:eastAsia="PMingLiU"/>
          <w:i/>
          <w:iCs/>
          <w:sz w:val="20"/>
          <w:szCs w:val="20"/>
          <w:lang w:eastAsia="zh-TW"/>
        </w:rPr>
        <w:t xml:space="preserve">we propose </w:t>
      </w:r>
      <w:r>
        <w:rPr>
          <w:rFonts w:eastAsia="PMingLiU"/>
          <w:i/>
          <w:iCs/>
          <w:sz w:val="20"/>
          <w:szCs w:val="20"/>
          <w:lang w:eastAsia="zh-TW"/>
        </w:rPr>
        <w:t>using the same switching period values used in Rel-19 (35uSec, 70uSec, and 140uSec) as a baseline to determine the periods for Rel-20.</w:t>
      </w:r>
    </w:p>
    <w:p w14:paraId="5D2DDC34" w14:textId="62AA5838" w:rsidR="005E69AE" w:rsidRPr="001C3438" w:rsidRDefault="005E69AE" w:rsidP="005E69AE">
      <w:pPr>
        <w:pStyle w:val="Heading1"/>
        <w:rPr>
          <w:rFonts w:ascii="Times New Roman" w:hAnsi="Times New Roman"/>
          <w:b/>
          <w:bCs/>
          <w:sz w:val="28"/>
          <w:szCs w:val="28"/>
        </w:rPr>
      </w:pPr>
      <w:r w:rsidRPr="001C3438">
        <w:rPr>
          <w:rFonts w:ascii="Times New Roman" w:hAnsi="Times New Roman"/>
          <w:b/>
          <w:bCs/>
          <w:sz w:val="28"/>
          <w:szCs w:val="28"/>
        </w:rPr>
        <w:t>4</w:t>
      </w:r>
      <w:r w:rsidRPr="001C3438">
        <w:rPr>
          <w:rFonts w:ascii="Times New Roman" w:hAnsi="Times New Roman"/>
          <w:b/>
          <w:bCs/>
          <w:sz w:val="28"/>
          <w:szCs w:val="28"/>
        </w:rPr>
        <w:tab/>
        <w:t>References</w:t>
      </w:r>
    </w:p>
    <w:p w14:paraId="28C0A69F" w14:textId="11FEB905" w:rsidR="006F0A49" w:rsidRPr="00B91476" w:rsidRDefault="00D70726" w:rsidP="006F0A49">
      <w:pPr>
        <w:pStyle w:val="EX"/>
        <w:spacing w:after="180"/>
        <w:ind w:left="374" w:hanging="374"/>
        <w:jc w:val="both"/>
        <w:rPr>
          <w:sz w:val="20"/>
          <w:szCs w:val="20"/>
        </w:rPr>
      </w:pPr>
      <w:bookmarkStart w:id="1" w:name="OLE_LINK8"/>
      <w:bookmarkEnd w:id="0"/>
      <w:r w:rsidRPr="00D70726">
        <w:rPr>
          <w:bCs/>
          <w:noProof/>
          <w:sz w:val="20"/>
          <w:szCs w:val="20"/>
        </w:rPr>
        <w:t>RP-25</w:t>
      </w:r>
      <w:r w:rsidRPr="00D70726">
        <w:rPr>
          <w:rFonts w:hint="eastAsia"/>
          <w:bCs/>
          <w:noProof/>
          <w:sz w:val="20"/>
          <w:szCs w:val="20"/>
          <w:lang w:eastAsia="zh-CN"/>
        </w:rPr>
        <w:t>2953</w:t>
      </w:r>
      <w:bookmarkEnd w:id="1"/>
      <w:r w:rsidR="006F0A49" w:rsidRPr="00B91476">
        <w:rPr>
          <w:noProof/>
          <w:sz w:val="20"/>
          <w:szCs w:val="20"/>
        </w:rPr>
        <w:t xml:space="preserve">, </w:t>
      </w:r>
      <w:r w:rsidR="006F0A49" w:rsidRPr="00B91476">
        <w:rPr>
          <w:sz w:val="20"/>
          <w:szCs w:val="20"/>
        </w:rPr>
        <w:t>“</w:t>
      </w:r>
      <w:r w:rsidRPr="00D70726">
        <w:rPr>
          <w:rFonts w:eastAsia="Batang"/>
          <w:bCs/>
          <w:sz w:val="20"/>
          <w:szCs w:val="20"/>
          <w:lang w:eastAsia="zh-CN"/>
        </w:rPr>
        <w:t xml:space="preserve">New WID on </w:t>
      </w:r>
      <w:r w:rsidRPr="00D70726">
        <w:rPr>
          <w:bCs/>
          <w:sz w:val="20"/>
          <w:szCs w:val="20"/>
          <w:lang w:eastAsia="zh-CN"/>
        </w:rPr>
        <w:t>enhancement of low NR band carrier aggregation via switching</w:t>
      </w:r>
      <w:r w:rsidR="006F0A49" w:rsidRPr="00D70726">
        <w:rPr>
          <w:bCs/>
          <w:sz w:val="20"/>
          <w:szCs w:val="20"/>
        </w:rPr>
        <w:t>”</w:t>
      </w:r>
      <w:r w:rsidR="006F0A49" w:rsidRPr="00B91476">
        <w:rPr>
          <w:sz w:val="20"/>
          <w:szCs w:val="20"/>
          <w:lang w:val="en-GB"/>
        </w:rPr>
        <w:t xml:space="preserve">, by </w:t>
      </w:r>
      <w:r w:rsidR="00B91476" w:rsidRPr="00B91476">
        <w:rPr>
          <w:bCs/>
          <w:color w:val="000000" w:themeColor="text1"/>
          <w:sz w:val="20"/>
          <w:szCs w:val="20"/>
        </w:rPr>
        <w:t>RAN4 Chair (Apple)</w:t>
      </w:r>
      <w:r w:rsidR="006F0A49" w:rsidRPr="00B91476">
        <w:rPr>
          <w:sz w:val="20"/>
          <w:szCs w:val="20"/>
          <w:lang w:val="en-GB"/>
        </w:rPr>
        <w:t xml:space="preserve">,  </w:t>
      </w:r>
      <w:r w:rsidRPr="00D70726">
        <w:rPr>
          <w:bCs/>
          <w:noProof/>
          <w:sz w:val="20"/>
          <w:szCs w:val="20"/>
        </w:rPr>
        <w:t>3GPP TSG RAN Meeting #109</w:t>
      </w:r>
      <w:r w:rsidR="00B91476" w:rsidRPr="00B91476">
        <w:rPr>
          <w:color w:val="000000" w:themeColor="text1"/>
          <w:sz w:val="20"/>
          <w:szCs w:val="20"/>
        </w:rPr>
        <w:t xml:space="preserve">, </w:t>
      </w:r>
      <w:r w:rsidR="00B91476" w:rsidRPr="00B91476">
        <w:rPr>
          <w:rFonts w:eastAsia="MS Mincho"/>
          <w:color w:val="000000" w:themeColor="text1"/>
          <w:sz w:val="20"/>
          <w:szCs w:val="20"/>
          <w:lang w:eastAsia="ja-JP"/>
        </w:rPr>
        <w:t xml:space="preserve">Prague, </w:t>
      </w:r>
      <w:r w:rsidRPr="00D70726">
        <w:rPr>
          <w:bCs/>
          <w:noProof/>
          <w:sz w:val="20"/>
          <w:szCs w:val="20"/>
        </w:rPr>
        <w:t>Beijing, China, September 15-18, 2025</w:t>
      </w:r>
    </w:p>
    <w:p w14:paraId="4C416C11" w14:textId="11EE4DD5" w:rsidR="00404284" w:rsidRDefault="00404284" w:rsidP="00644971">
      <w:pPr>
        <w:pStyle w:val="EX"/>
        <w:numPr>
          <w:ilvl w:val="0"/>
          <w:numId w:val="0"/>
        </w:numPr>
        <w:spacing w:after="180"/>
        <w:ind w:left="369" w:hanging="369"/>
        <w:jc w:val="both"/>
        <w:rPr>
          <w:bCs/>
          <w:sz w:val="20"/>
          <w:szCs w:val="20"/>
        </w:rPr>
      </w:pP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038A" w14:textId="77777777" w:rsidR="004C0A9B" w:rsidRDefault="004C0A9B">
      <w:r>
        <w:separator/>
      </w:r>
    </w:p>
  </w:endnote>
  <w:endnote w:type="continuationSeparator" w:id="0">
    <w:p w14:paraId="251427BE" w14:textId="77777777" w:rsidR="004C0A9B" w:rsidRDefault="004C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A561" w14:textId="77777777" w:rsidR="004C0A9B" w:rsidRDefault="004C0A9B">
      <w:r>
        <w:separator/>
      </w:r>
    </w:p>
  </w:footnote>
  <w:footnote w:type="continuationSeparator" w:id="0">
    <w:p w14:paraId="218D1D54" w14:textId="77777777" w:rsidR="004C0A9B" w:rsidRDefault="004C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4"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9A0BCA"/>
    <w:multiLevelType w:val="hybridMultilevel"/>
    <w:tmpl w:val="03CAA336"/>
    <w:lvl w:ilvl="0" w:tplc="0344C1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5"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0"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8"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57"/>
  </w:num>
  <w:num w:numId="5" w16cid:durableId="977950936">
    <w:abstractNumId w:val="4"/>
  </w:num>
  <w:num w:numId="6" w16cid:durableId="1850876431">
    <w:abstractNumId w:val="4"/>
  </w:num>
  <w:num w:numId="7" w16cid:durableId="428896142">
    <w:abstractNumId w:val="36"/>
  </w:num>
  <w:num w:numId="8" w16cid:durableId="2080327107">
    <w:abstractNumId w:val="10"/>
  </w:num>
  <w:num w:numId="9" w16cid:durableId="459036515">
    <w:abstractNumId w:val="37"/>
  </w:num>
  <w:num w:numId="10" w16cid:durableId="892421984">
    <w:abstractNumId w:val="17"/>
  </w:num>
  <w:num w:numId="11" w16cid:durableId="973826835">
    <w:abstractNumId w:val="18"/>
  </w:num>
  <w:num w:numId="12" w16cid:durableId="48696969">
    <w:abstractNumId w:val="64"/>
  </w:num>
  <w:num w:numId="13" w16cid:durableId="1621182100">
    <w:abstractNumId w:val="21"/>
  </w:num>
  <w:num w:numId="14" w16cid:durableId="681855791">
    <w:abstractNumId w:val="22"/>
  </w:num>
  <w:num w:numId="15" w16cid:durableId="1387412062">
    <w:abstractNumId w:val="40"/>
  </w:num>
  <w:num w:numId="16" w16cid:durableId="1707214678">
    <w:abstractNumId w:val="65"/>
  </w:num>
  <w:num w:numId="17" w16cid:durableId="1228883719">
    <w:abstractNumId w:val="33"/>
  </w:num>
  <w:num w:numId="18" w16cid:durableId="1736001611">
    <w:abstractNumId w:val="20"/>
  </w:num>
  <w:num w:numId="19" w16cid:durableId="1708026189">
    <w:abstractNumId w:val="63"/>
  </w:num>
  <w:num w:numId="20" w16cid:durableId="2134398882">
    <w:abstractNumId w:val="29"/>
  </w:num>
  <w:num w:numId="21" w16cid:durableId="1707292931">
    <w:abstractNumId w:val="24"/>
  </w:num>
  <w:num w:numId="22" w16cid:durableId="1872840210">
    <w:abstractNumId w:val="9"/>
  </w:num>
  <w:num w:numId="23" w16cid:durableId="988828275">
    <w:abstractNumId w:val="51"/>
  </w:num>
  <w:num w:numId="24" w16cid:durableId="639112823">
    <w:abstractNumId w:val="62"/>
  </w:num>
  <w:num w:numId="25" w16cid:durableId="1758358505">
    <w:abstractNumId w:val="7"/>
  </w:num>
  <w:num w:numId="26" w16cid:durableId="1136491485">
    <w:abstractNumId w:val="71"/>
  </w:num>
  <w:num w:numId="27" w16cid:durableId="1259366616">
    <w:abstractNumId w:val="42"/>
  </w:num>
  <w:num w:numId="28" w16cid:durableId="487987898">
    <w:abstractNumId w:val="3"/>
  </w:num>
  <w:num w:numId="29" w16cid:durableId="1685402915">
    <w:abstractNumId w:val="56"/>
  </w:num>
  <w:num w:numId="30" w16cid:durableId="2133668486">
    <w:abstractNumId w:val="13"/>
  </w:num>
  <w:num w:numId="31" w16cid:durableId="1164661197">
    <w:abstractNumId w:val="25"/>
  </w:num>
  <w:num w:numId="32" w16cid:durableId="151796906">
    <w:abstractNumId w:val="43"/>
  </w:num>
  <w:num w:numId="33" w16cid:durableId="107437711">
    <w:abstractNumId w:val="8"/>
  </w:num>
  <w:num w:numId="34" w16cid:durableId="1587303393">
    <w:abstractNumId w:val="49"/>
  </w:num>
  <w:num w:numId="35" w16cid:durableId="295642991">
    <w:abstractNumId w:val="72"/>
  </w:num>
  <w:num w:numId="36" w16cid:durableId="1011568902">
    <w:abstractNumId w:val="28"/>
  </w:num>
  <w:num w:numId="37" w16cid:durableId="1689140278">
    <w:abstractNumId w:val="47"/>
  </w:num>
  <w:num w:numId="38" w16cid:durableId="1820607614">
    <w:abstractNumId w:val="39"/>
  </w:num>
  <w:num w:numId="39" w16cid:durableId="782115979">
    <w:abstractNumId w:val="66"/>
  </w:num>
  <w:num w:numId="40" w16cid:durableId="2114860448">
    <w:abstractNumId w:val="6"/>
  </w:num>
  <w:num w:numId="41" w16cid:durableId="1265958927">
    <w:abstractNumId w:val="16"/>
  </w:num>
  <w:num w:numId="42" w16cid:durableId="1461264447">
    <w:abstractNumId w:val="30"/>
  </w:num>
  <w:num w:numId="43" w16cid:durableId="1159543564">
    <w:abstractNumId w:val="53"/>
  </w:num>
  <w:num w:numId="44" w16cid:durableId="923609702">
    <w:abstractNumId w:val="68"/>
  </w:num>
  <w:num w:numId="45" w16cid:durableId="93215154">
    <w:abstractNumId w:val="35"/>
  </w:num>
  <w:num w:numId="46" w16cid:durableId="413429941">
    <w:abstractNumId w:val="23"/>
  </w:num>
  <w:num w:numId="47" w16cid:durableId="1874923929">
    <w:abstractNumId w:val="58"/>
  </w:num>
  <w:num w:numId="48" w16cid:durableId="869074504">
    <w:abstractNumId w:val="26"/>
  </w:num>
  <w:num w:numId="49" w16cid:durableId="1902206490">
    <w:abstractNumId w:val="15"/>
  </w:num>
  <w:num w:numId="50" w16cid:durableId="939726385">
    <w:abstractNumId w:val="59"/>
  </w:num>
  <w:num w:numId="51" w16cid:durableId="1312759504">
    <w:abstractNumId w:val="44"/>
  </w:num>
  <w:num w:numId="52" w16cid:durableId="56514189">
    <w:abstractNumId w:val="19"/>
  </w:num>
  <w:num w:numId="53" w16cid:durableId="1101418163">
    <w:abstractNumId w:val="41"/>
  </w:num>
  <w:num w:numId="54" w16cid:durableId="173421046">
    <w:abstractNumId w:val="5"/>
  </w:num>
  <w:num w:numId="55" w16cid:durableId="582296151">
    <w:abstractNumId w:val="12"/>
  </w:num>
  <w:num w:numId="56" w16cid:durableId="1501042088">
    <w:abstractNumId w:val="54"/>
  </w:num>
  <w:num w:numId="57" w16cid:durableId="1419864296">
    <w:abstractNumId w:val="69"/>
  </w:num>
  <w:num w:numId="58" w16cid:durableId="1776048550">
    <w:abstractNumId w:val="50"/>
  </w:num>
  <w:num w:numId="59" w16cid:durableId="1281843788">
    <w:abstractNumId w:val="32"/>
  </w:num>
  <w:num w:numId="60" w16cid:durableId="1520585105">
    <w:abstractNumId w:val="34"/>
  </w:num>
  <w:num w:numId="61" w16cid:durableId="1808204119">
    <w:abstractNumId w:val="67"/>
  </w:num>
  <w:num w:numId="62" w16cid:durableId="9820039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0"/>
  </w:num>
  <w:num w:numId="64" w16cid:durableId="1986620251">
    <w:abstractNumId w:val="52"/>
  </w:num>
  <w:num w:numId="65" w16cid:durableId="1364020056">
    <w:abstractNumId w:val="45"/>
  </w:num>
  <w:num w:numId="66" w16cid:durableId="2122989903">
    <w:abstractNumId w:val="31"/>
  </w:num>
  <w:num w:numId="67" w16cid:durableId="1993168799">
    <w:abstractNumId w:val="55"/>
  </w:num>
  <w:num w:numId="68" w16cid:durableId="1645349487">
    <w:abstractNumId w:val="11"/>
  </w:num>
  <w:num w:numId="69" w16cid:durableId="2058818515">
    <w:abstractNumId w:val="61"/>
  </w:num>
  <w:num w:numId="70" w16cid:durableId="1442526621">
    <w:abstractNumId w:val="14"/>
  </w:num>
  <w:num w:numId="71" w16cid:durableId="2002659737">
    <w:abstractNumId w:val="38"/>
  </w:num>
  <w:num w:numId="72" w16cid:durableId="350765930">
    <w:abstractNumId w:val="60"/>
  </w:num>
  <w:num w:numId="73" w16cid:durableId="1085805641">
    <w:abstractNumId w:val="1"/>
  </w:num>
  <w:num w:numId="74" w16cid:durableId="368185680">
    <w:abstractNumId w:val="46"/>
  </w:num>
  <w:num w:numId="75" w16cid:durableId="150505355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932D7"/>
    <w:rsid w:val="00095296"/>
    <w:rsid w:val="00095C48"/>
    <w:rsid w:val="00095EA8"/>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793"/>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1810"/>
    <w:rsid w:val="001825F0"/>
    <w:rsid w:val="00183720"/>
    <w:rsid w:val="001841B1"/>
    <w:rsid w:val="00185E52"/>
    <w:rsid w:val="001875D7"/>
    <w:rsid w:val="00194554"/>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26A0"/>
    <w:rsid w:val="00204648"/>
    <w:rsid w:val="00204DA2"/>
    <w:rsid w:val="00205934"/>
    <w:rsid w:val="0020763B"/>
    <w:rsid w:val="002107B1"/>
    <w:rsid w:val="00210EA6"/>
    <w:rsid w:val="00211049"/>
    <w:rsid w:val="00211F3B"/>
    <w:rsid w:val="00213795"/>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05"/>
    <w:rsid w:val="002347A2"/>
    <w:rsid w:val="00234D70"/>
    <w:rsid w:val="002412F3"/>
    <w:rsid w:val="00242B51"/>
    <w:rsid w:val="00242FEE"/>
    <w:rsid w:val="0024384F"/>
    <w:rsid w:val="002450A4"/>
    <w:rsid w:val="00246E73"/>
    <w:rsid w:val="00247926"/>
    <w:rsid w:val="002510D6"/>
    <w:rsid w:val="00254F21"/>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4236"/>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19FD"/>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13F3B"/>
    <w:rsid w:val="004166A1"/>
    <w:rsid w:val="0041733B"/>
    <w:rsid w:val="00420FB8"/>
    <w:rsid w:val="00421A73"/>
    <w:rsid w:val="00422729"/>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13F5"/>
    <w:rsid w:val="004A3D27"/>
    <w:rsid w:val="004A48FA"/>
    <w:rsid w:val="004A4B59"/>
    <w:rsid w:val="004A5DB3"/>
    <w:rsid w:val="004B3447"/>
    <w:rsid w:val="004B5861"/>
    <w:rsid w:val="004B5A45"/>
    <w:rsid w:val="004B5C7F"/>
    <w:rsid w:val="004B61A0"/>
    <w:rsid w:val="004C0684"/>
    <w:rsid w:val="004C0A9B"/>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5289"/>
    <w:rsid w:val="00506C9D"/>
    <w:rsid w:val="0051027D"/>
    <w:rsid w:val="00511836"/>
    <w:rsid w:val="00511E6E"/>
    <w:rsid w:val="00512AF0"/>
    <w:rsid w:val="00515F19"/>
    <w:rsid w:val="00520A9B"/>
    <w:rsid w:val="00523F59"/>
    <w:rsid w:val="00524CA4"/>
    <w:rsid w:val="00525CA9"/>
    <w:rsid w:val="00526A18"/>
    <w:rsid w:val="00531036"/>
    <w:rsid w:val="005310EB"/>
    <w:rsid w:val="0053388B"/>
    <w:rsid w:val="00534BE5"/>
    <w:rsid w:val="00534CB5"/>
    <w:rsid w:val="00535773"/>
    <w:rsid w:val="00540AC5"/>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2401"/>
    <w:rsid w:val="0068290F"/>
    <w:rsid w:val="0068530E"/>
    <w:rsid w:val="00687D57"/>
    <w:rsid w:val="00691AC3"/>
    <w:rsid w:val="0069275C"/>
    <w:rsid w:val="00695D2B"/>
    <w:rsid w:val="00695F03"/>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F0F"/>
    <w:rsid w:val="007833DA"/>
    <w:rsid w:val="00787C74"/>
    <w:rsid w:val="00791739"/>
    <w:rsid w:val="0079178B"/>
    <w:rsid w:val="007921F5"/>
    <w:rsid w:val="007946D9"/>
    <w:rsid w:val="00795443"/>
    <w:rsid w:val="0079544F"/>
    <w:rsid w:val="00795B57"/>
    <w:rsid w:val="00795F7B"/>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9FF"/>
    <w:rsid w:val="009933D7"/>
    <w:rsid w:val="00994CC3"/>
    <w:rsid w:val="00997F3F"/>
    <w:rsid w:val="009A1B25"/>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7B89"/>
    <w:rsid w:val="009D2B95"/>
    <w:rsid w:val="009D4870"/>
    <w:rsid w:val="009D528F"/>
    <w:rsid w:val="009E21E8"/>
    <w:rsid w:val="009E23D5"/>
    <w:rsid w:val="009E54EF"/>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AF1"/>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1476"/>
    <w:rsid w:val="00B92A2F"/>
    <w:rsid w:val="00B93086"/>
    <w:rsid w:val="00B943E1"/>
    <w:rsid w:val="00B975A2"/>
    <w:rsid w:val="00BA19ED"/>
    <w:rsid w:val="00BA1F7E"/>
    <w:rsid w:val="00BA299D"/>
    <w:rsid w:val="00BA300B"/>
    <w:rsid w:val="00BA468D"/>
    <w:rsid w:val="00BA4B8D"/>
    <w:rsid w:val="00BA50B0"/>
    <w:rsid w:val="00BA75B0"/>
    <w:rsid w:val="00BA7715"/>
    <w:rsid w:val="00BB313C"/>
    <w:rsid w:val="00BB383B"/>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C78"/>
    <w:rsid w:val="00BD7171"/>
    <w:rsid w:val="00BE08EF"/>
    <w:rsid w:val="00BE0CD1"/>
    <w:rsid w:val="00BE2C25"/>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96A"/>
    <w:rsid w:val="00C14D85"/>
    <w:rsid w:val="00C16008"/>
    <w:rsid w:val="00C1711F"/>
    <w:rsid w:val="00C1790B"/>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4848"/>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24C4"/>
    <w:rsid w:val="00D13629"/>
    <w:rsid w:val="00D1495D"/>
    <w:rsid w:val="00D16537"/>
    <w:rsid w:val="00D17F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726"/>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2E1E"/>
    <w:rsid w:val="00D94AC9"/>
    <w:rsid w:val="00D963E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E6658"/>
    <w:rsid w:val="00DE735A"/>
    <w:rsid w:val="00DF1777"/>
    <w:rsid w:val="00DF19EA"/>
    <w:rsid w:val="00DF2B1F"/>
    <w:rsid w:val="00DF2EC6"/>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7F6"/>
    <w:rsid w:val="00E44582"/>
    <w:rsid w:val="00E471C5"/>
    <w:rsid w:val="00E471F4"/>
    <w:rsid w:val="00E47F9B"/>
    <w:rsid w:val="00E50F5D"/>
    <w:rsid w:val="00E513C1"/>
    <w:rsid w:val="00E51B83"/>
    <w:rsid w:val="00E52814"/>
    <w:rsid w:val="00E53F52"/>
    <w:rsid w:val="00E5425E"/>
    <w:rsid w:val="00E54B95"/>
    <w:rsid w:val="00E55409"/>
    <w:rsid w:val="00E56651"/>
    <w:rsid w:val="00E56715"/>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33F7"/>
    <w:rsid w:val="00E83BB3"/>
    <w:rsid w:val="00E922FE"/>
    <w:rsid w:val="00E92673"/>
    <w:rsid w:val="00E9411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0DD"/>
    <w:rsid w:val="00F36E5D"/>
    <w:rsid w:val="00F37F0E"/>
    <w:rsid w:val="00F44B2A"/>
    <w:rsid w:val="00F47A34"/>
    <w:rsid w:val="00F54BE6"/>
    <w:rsid w:val="00F565B6"/>
    <w:rsid w:val="00F62AEB"/>
    <w:rsid w:val="00F62ED0"/>
    <w:rsid w:val="00F653B8"/>
    <w:rsid w:val="00F66F3C"/>
    <w:rsid w:val="00F6762F"/>
    <w:rsid w:val="00F67BE0"/>
    <w:rsid w:val="00F67DB6"/>
    <w:rsid w:val="00F70647"/>
    <w:rsid w:val="00F722E2"/>
    <w:rsid w:val="00F72BFB"/>
    <w:rsid w:val="00F72F4F"/>
    <w:rsid w:val="00F7495C"/>
    <w:rsid w:val="00F76D5D"/>
    <w:rsid w:val="00F77D67"/>
    <w:rsid w:val="00F804C7"/>
    <w:rsid w:val="00F80F5C"/>
    <w:rsid w:val="00F82747"/>
    <w:rsid w:val="00F8393E"/>
    <w:rsid w:val="00F87485"/>
    <w:rsid w:val="00F87D29"/>
    <w:rsid w:val="00F90B00"/>
    <w:rsid w:val="00F9129C"/>
    <w:rsid w:val="00F92945"/>
    <w:rsid w:val="00F963B3"/>
    <w:rsid w:val="00FA116A"/>
    <w:rsid w:val="00FA1266"/>
    <w:rsid w:val="00FA29A4"/>
    <w:rsid w:val="00FA29C5"/>
    <w:rsid w:val="00FA3A4C"/>
    <w:rsid w:val="00FA49FF"/>
    <w:rsid w:val="00FB08EE"/>
    <w:rsid w:val="00FB3031"/>
    <w:rsid w:val="00FB3203"/>
    <w:rsid w:val="00FB4590"/>
    <w:rsid w:val="00FB645D"/>
    <w:rsid w:val="00FB76F8"/>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367</TotalTime>
  <Pages>4</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11</cp:revision>
  <cp:lastPrinted>2019-02-25T14:05:00Z</cp:lastPrinted>
  <dcterms:created xsi:type="dcterms:W3CDTF">2025-09-19T21:00:00Z</dcterms:created>
  <dcterms:modified xsi:type="dcterms:W3CDTF">2025-10-03T18:40:00Z</dcterms:modified>
  <cp:category/>
</cp:coreProperties>
</file>